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0" w:rsidRDefault="00095A00" w:rsidP="00095A00">
      <w:pPr>
        <w:pStyle w:val="NormlWeb"/>
        <w:pBdr>
          <w:bottom w:val="single" w:sz="8" w:space="1" w:color="000000"/>
        </w:pBdr>
        <w:shd w:val="clear" w:color="auto" w:fill="E6E6E6"/>
        <w:spacing w:after="284" w:afterAutospacing="0"/>
      </w:pPr>
      <w:r>
        <w:rPr>
          <w:rFonts w:ascii="Arial" w:hAnsi="Arial" w:cs="Arial"/>
          <w:b/>
          <w:bCs/>
          <w:sz w:val="20"/>
          <w:szCs w:val="20"/>
        </w:rPr>
        <w:t>EGYSÉGES SZERKEZETBEN</w:t>
      </w:r>
      <w:r>
        <w:t xml:space="preserve"> </w:t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3/2015. (I.15) OP</w:t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8637D9" w:rsidRDefault="008637D9" w:rsidP="008637D9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fogvatartottak által igénybevett többletszolgáltatások díjainak</w:t>
      </w:r>
      <w:r>
        <w:rPr>
          <w:b/>
          <w:bCs/>
          <w:i/>
          <w:iCs/>
        </w:rPr>
        <w:br/>
        <w:t>meghatározásáról</w:t>
      </w:r>
    </w:p>
    <w:p w:rsidR="008637D9" w:rsidRDefault="008637D9" w:rsidP="008637D9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 155. § (6) bekezdésére, valamint a büntetés-végrehajtási intézetben fogvatartott elítéltek és egyéb jogcímen fogvatartottak letétjének kezeléséről és a birtokukban lévő külföldi fizetőeszközzel kapcsolatos eljárásról szóló 15/2014. (XII. 17.) IM rendelet 15.§ (2) bekezdésére a fogvatartottak által igénybevett többletszolgáltatások díjainak meghatározása érdekében kiadom az alábbi</w:t>
      </w:r>
    </w:p>
    <w:p w:rsidR="008637D9" w:rsidRDefault="008637D9" w:rsidP="008637D9">
      <w:pPr>
        <w:pStyle w:val="NormlWeb"/>
        <w:spacing w:after="284" w:afterAutospacing="0"/>
        <w:jc w:val="center"/>
      </w:pPr>
      <w:proofErr w:type="gramStart"/>
      <w:r>
        <w:rPr>
          <w:b/>
          <w:bCs/>
        </w:rPr>
        <w:t>s</w:t>
      </w:r>
      <w:proofErr w:type="gramEnd"/>
      <w:r>
        <w:rPr>
          <w:b/>
          <w:bCs/>
        </w:rPr>
        <w:t xml:space="preserve"> z a k u t a s í t á s t.</w:t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</w:rPr>
        <w:t>I.  Általános rendelkezések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 xml:space="preserve">1.  A szakutasítás hatálya a büntetés-végrehajtási intézetekre, intézményekre (a továbbiakban: </w:t>
      </w:r>
      <w:proofErr w:type="spellStart"/>
      <w:r>
        <w:t>bv</w:t>
      </w:r>
      <w:proofErr w:type="spellEnd"/>
      <w:r>
        <w:t xml:space="preserve">. intézet) és a </w:t>
      </w:r>
      <w:proofErr w:type="spellStart"/>
      <w:r>
        <w:t>bv</w:t>
      </w:r>
      <w:proofErr w:type="spellEnd"/>
      <w:r>
        <w:t>. intézetekben többletszolgáltatást igénybevevő fogvatartottakra terjed ki.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>2.  Értelmező rendelkezések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br/>
        <w:t>A szakutasítás alkalmazásában:</w:t>
      </w:r>
    </w:p>
    <w:p w:rsidR="008637D9" w:rsidRDefault="008637D9" w:rsidP="008637D9">
      <w:pPr>
        <w:pStyle w:val="NormlWeb"/>
        <w:numPr>
          <w:ilvl w:val="1"/>
          <w:numId w:val="46"/>
        </w:numPr>
        <w:jc w:val="both"/>
      </w:pPr>
      <w:proofErr w:type="gramStart"/>
      <w:r>
        <w:rPr>
          <w:i/>
          <w:iCs/>
        </w:rPr>
        <w:t xml:space="preserve">kondicionáló terem: </w:t>
      </w:r>
      <w:r>
        <w:t xml:space="preserve">elsősorban a fizikai erőnlét, állóképesség és a testalkat megtartására, illetőleg megváltoztatására, fejlesztésére szolgáló olyan a </w:t>
      </w:r>
      <w:proofErr w:type="spellStart"/>
      <w:r>
        <w:t>bv</w:t>
      </w:r>
      <w:proofErr w:type="spellEnd"/>
      <w:r>
        <w:t xml:space="preserve">. intézeten belül elkülönített, fedett helyiség, amelyben többek között az alap erőgyakorlatok elvégzéséhez szükséges eszközök (pl. fekve nyomó padok, ferdenyomó padok, guggoló állványok, húzódzkodó, és </w:t>
      </w:r>
      <w:proofErr w:type="spellStart"/>
      <w:r>
        <w:t>tolódzkodó</w:t>
      </w:r>
      <w:proofErr w:type="spellEnd"/>
      <w:r>
        <w:t xml:space="preserve"> állványok, felhúzó dobogó, olimpiai rudak, rövid rudak, bicepsz állvány, tárcsák, kézi súlyok, stb.) mellett szabadsúlyos, ingás rendszerű erőgépek is megtalálhatóak;</w:t>
      </w:r>
      <w:proofErr w:type="gramEnd"/>
    </w:p>
    <w:p w:rsidR="008637D9" w:rsidRDefault="008637D9" w:rsidP="008637D9">
      <w:pPr>
        <w:pStyle w:val="NormlWeb"/>
        <w:numPr>
          <w:ilvl w:val="1"/>
          <w:numId w:val="46"/>
        </w:numPr>
        <w:jc w:val="both"/>
      </w:pPr>
      <w:r>
        <w:rPr>
          <w:i/>
          <w:iCs/>
        </w:rPr>
        <w:t>hűtőszekrény:</w:t>
      </w:r>
      <w:r>
        <w:t xml:space="preserve"> olyan szerkezet, mellyel mesterségesen a környezetnél alacsonyabb hőmérsékletet lehet előállítani és tartósan fenntartani;</w:t>
      </w:r>
    </w:p>
    <w:p w:rsidR="008637D9" w:rsidRDefault="008637D9" w:rsidP="008637D9">
      <w:pPr>
        <w:pStyle w:val="NormlWeb"/>
        <w:numPr>
          <w:ilvl w:val="1"/>
          <w:numId w:val="46"/>
        </w:numPr>
        <w:jc w:val="both"/>
      </w:pPr>
      <w:r>
        <w:rPr>
          <w:i/>
          <w:iCs/>
        </w:rPr>
        <w:t xml:space="preserve">vízmelegítő: </w:t>
      </w:r>
      <w:r>
        <w:t>olyan szerkezet, amely víz melegítésére, forralására szolgál és maximum 350 W teljesítményű;</w:t>
      </w:r>
    </w:p>
    <w:p w:rsidR="008637D9" w:rsidRDefault="008637D9" w:rsidP="008637D9">
      <w:pPr>
        <w:pStyle w:val="NormlWeb"/>
        <w:numPr>
          <w:ilvl w:val="1"/>
          <w:numId w:val="46"/>
        </w:numPr>
        <w:jc w:val="both"/>
      </w:pPr>
      <w:r>
        <w:rPr>
          <w:i/>
          <w:iCs/>
        </w:rPr>
        <w:t xml:space="preserve">használati díj: </w:t>
      </w:r>
      <w:r>
        <w:t>az a)</w:t>
      </w:r>
      <w:proofErr w:type="spellStart"/>
      <w:r>
        <w:t>-c</w:t>
      </w:r>
      <w:proofErr w:type="spellEnd"/>
      <w:r>
        <w:t>) pontokban meghatározott szolgáltatás, illetve eszközök igénybevételéért havi rendszerességgel fizetendő költségtérítés;</w:t>
      </w:r>
    </w:p>
    <w:p w:rsidR="008637D9" w:rsidRDefault="008637D9" w:rsidP="008637D9">
      <w:pPr>
        <w:pStyle w:val="NormlWeb"/>
        <w:spacing w:after="284" w:afterAutospacing="0"/>
        <w:jc w:val="center"/>
        <w:rPr>
          <w:b/>
          <w:bCs/>
        </w:rPr>
      </w:pPr>
      <w:r>
        <w:rPr>
          <w:b/>
          <w:bCs/>
        </w:rPr>
        <w:br/>
      </w:r>
    </w:p>
    <w:p w:rsidR="008637D9" w:rsidRDefault="008637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br w:type="page"/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</w:rPr>
        <w:lastRenderedPageBreak/>
        <w:t>II.  Térítési díjak</w:t>
      </w:r>
      <w:bookmarkStart w:id="0" w:name="_GoBack"/>
      <w:bookmarkEnd w:id="0"/>
    </w:p>
    <w:p w:rsidR="008637D9" w:rsidRDefault="008637D9" w:rsidP="00C87DE1">
      <w:pPr>
        <w:pStyle w:val="NormlWeb"/>
        <w:shd w:val="clear" w:color="auto" w:fill="F8F8F8"/>
        <w:spacing w:after="284" w:afterAutospacing="0"/>
        <w:ind w:left="567" w:hanging="284"/>
        <w:jc w:val="both"/>
      </w:pPr>
      <w:r>
        <w:t>3.  Az egyes többletszolgáltatások nettó díjai az alábbiak: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jc w:val="both"/>
        <w:rPr>
          <w:iCs/>
        </w:rPr>
      </w:pPr>
      <w:r w:rsidRPr="00EA0613">
        <w:rPr>
          <w:iCs/>
        </w:rPr>
        <w:t>A kondicionáló terem használata: 800 Ft/fő/hó.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jc w:val="both"/>
        <w:rPr>
          <w:iCs/>
        </w:rPr>
      </w:pPr>
      <w:r w:rsidRPr="00EA0613">
        <w:rPr>
          <w:iCs/>
        </w:rPr>
        <w:t>Az intézeti tulajdonú hűtőszekrény használata: 700 Ft/fő/hó.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jc w:val="both"/>
        <w:rPr>
          <w:iCs/>
        </w:rPr>
      </w:pPr>
      <w:r w:rsidRPr="00EA0613">
        <w:rPr>
          <w:iCs/>
        </w:rPr>
        <w:t>Az intézeti tulajdonú vízmelegítő használata: 200 Ft/fő/hó.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jc w:val="both"/>
        <w:rPr>
          <w:iCs/>
        </w:rPr>
      </w:pPr>
      <w:r w:rsidRPr="00EA0613">
        <w:rPr>
          <w:iCs/>
        </w:rPr>
        <w:t>Saját ruha mosatása: 100 Ft/kg.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jc w:val="both"/>
        <w:rPr>
          <w:iCs/>
        </w:rPr>
      </w:pPr>
      <w:r w:rsidRPr="00EA0613">
        <w:rPr>
          <w:iCs/>
        </w:rPr>
        <w:t>Igazolványkép készítés: 80 Ft/fotó</w:t>
      </w:r>
    </w:p>
    <w:p w:rsidR="00EA0613" w:rsidRPr="00EA0613" w:rsidRDefault="00EA0613" w:rsidP="00C87DE1">
      <w:pPr>
        <w:pStyle w:val="NormlWeb"/>
        <w:numPr>
          <w:ilvl w:val="1"/>
          <w:numId w:val="48"/>
        </w:numPr>
        <w:shd w:val="clear" w:color="auto" w:fill="F8F8F8"/>
        <w:spacing w:before="0" w:beforeAutospacing="0" w:after="0" w:afterAutospacing="0"/>
        <w:ind w:left="1434" w:hanging="357"/>
        <w:jc w:val="both"/>
        <w:rPr>
          <w:iCs/>
        </w:rPr>
      </w:pPr>
      <w:r w:rsidRPr="00EA0613">
        <w:rPr>
          <w:iCs/>
        </w:rPr>
        <w:t>Fénymásolás, nyomtatás: 8 Ft/lap.</w:t>
      </w:r>
    </w:p>
    <w:p w:rsidR="00095A00" w:rsidRDefault="00095A00" w:rsidP="00C87DE1">
      <w:pPr>
        <w:pStyle w:val="NormlWeb"/>
        <w:spacing w:before="0" w:beforeAutospacing="0" w:after="0" w:afterAutospacing="0"/>
        <w:ind w:left="357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3/2016 OP szakutasítás, 2016.01.15.</w:t>
      </w:r>
    </w:p>
    <w:p w:rsidR="00C87DE1" w:rsidRDefault="00C87DE1" w:rsidP="00C87DE1">
      <w:pPr>
        <w:pStyle w:val="NormlWeb"/>
        <w:spacing w:before="0" w:beforeAutospacing="0" w:after="0" w:afterAutospacing="0"/>
        <w:ind w:left="357"/>
        <w:jc w:val="right"/>
      </w:pPr>
    </w:p>
    <w:p w:rsidR="00C87DE1" w:rsidRDefault="00C87DE1" w:rsidP="00C87DE1">
      <w:pPr>
        <w:pStyle w:val="NormlWeb"/>
        <w:shd w:val="clear" w:color="auto" w:fill="F8F8F8"/>
        <w:spacing w:before="0" w:beforeAutospacing="0" w:after="0" w:afterAutospacing="0"/>
        <w:ind w:left="568" w:hanging="284"/>
        <w:jc w:val="both"/>
      </w:pPr>
      <w:r w:rsidRPr="00C87DE1">
        <w:t>3/A. A 3. a)</w:t>
      </w:r>
      <w:proofErr w:type="spellStart"/>
      <w:r w:rsidRPr="00C87DE1">
        <w:t>-c</w:t>
      </w:r>
      <w:proofErr w:type="spellEnd"/>
      <w:r w:rsidRPr="00C87DE1">
        <w:t>) pontban szereplő többletszolgáltatások kizárólag havi rendszerességgel igényelhetőek a meghatározott havi térítési díj ellenében. A számlázás havonta történik, egy hónapnál kevesebb igénybevételre é</w:t>
      </w:r>
      <w:r>
        <w:t>s díjfizetésre nincs lehetőség.</w:t>
      </w:r>
    </w:p>
    <w:p w:rsidR="00C87DE1" w:rsidRDefault="00C87DE1" w:rsidP="00C87DE1">
      <w:pPr>
        <w:pStyle w:val="NormlWeb"/>
        <w:spacing w:before="0" w:beforeAutospacing="0" w:after="0" w:afterAutospacing="0"/>
        <w:ind w:left="357"/>
        <w:jc w:val="right"/>
      </w:pPr>
      <w:r>
        <w:rPr>
          <w:i/>
          <w:iCs/>
          <w:sz w:val="20"/>
          <w:szCs w:val="20"/>
        </w:rPr>
        <w:t>Módosította: 46/2017 OP szakutasítás, 2017.04.21.</w:t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</w:rPr>
        <w:br/>
        <w:t>III.  Az elszámolás szabályai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>4.  A felsorolt többletszolgáltatásokat kizárólag abban az esetben lehet biztosítani az igénybevevő fogvatartott részére, amennyiben előzetesen kérelmi lapon jelezte az igénybevétel szándékát.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 xml:space="preserve">5.  A kérelmi lapot a </w:t>
      </w:r>
      <w:proofErr w:type="spellStart"/>
      <w:r>
        <w:t>reintegrációs</w:t>
      </w:r>
      <w:proofErr w:type="spellEnd"/>
      <w:r>
        <w:t xml:space="preserve"> tiszt terjeszti fel jóváhagyásra a büntetés-végrehajtási osztály vezetőjének, aki javaslatát továbbítja a gazdasági szakterület részére. A gazdasági szakterület ügyintézőjének feladata, hogy meggyőződjön arról, hogy az igénybevevő fogvatartott – a büntetés-végrehajtási intézetben fogvatartott elítéltek és egyéb jogcímen fogvatartottak letétjének kezeléséről és a birtokukban lévő külföldi fizetőeszközzel kapcsolatos eljárásról szóló 15/2014. (XII. 17.) IM rendelet 15.§ (2) a)</w:t>
      </w:r>
      <w:proofErr w:type="spellStart"/>
      <w:r>
        <w:t>-f</w:t>
      </w:r>
      <w:proofErr w:type="spellEnd"/>
      <w:r>
        <w:t>) pontjaiban foglalt levonásokat követően is - rendelkezik az igényelt többletszolgáltatás használati díjának fedezetével.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 xml:space="preserve">6.  A kérelmi lap jóváhagyása, illetőleg fedezet rendelkezésre állása esetén a gazdasági szakterület ügyintézője az adott havi használati díjról minden hónap 5-ig számlát állít ki az igénybevevő fogvatartott részére és ezzel egyidejűleg gondoskodik a használati díjnak az igénybevevő fogvatartott letéti számlájáról a </w:t>
      </w:r>
      <w:proofErr w:type="spellStart"/>
      <w:r>
        <w:t>bv</w:t>
      </w:r>
      <w:proofErr w:type="spellEnd"/>
      <w:r>
        <w:t>. intézet számlájára történő átvezetéséről. Szabadulás, elhalálozás, átszállítás esetén az pénzügyi letét elszámolására vonatkozó szabályok az irányadóak.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>7.  A használati díjat az téríti, aki igényét a kérelmi lapon előterjesztette függetlenül attól, hogy a 2. b)</w:t>
      </w:r>
      <w:proofErr w:type="spellStart"/>
      <w:r>
        <w:t>-c</w:t>
      </w:r>
      <w:proofErr w:type="spellEnd"/>
      <w:r>
        <w:t>) pontban nevesített szolgáltatást, illetve eszközt egy vagy több személy - akár egyidejűleg - használja.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t>8.  A szolgáltatás igénybevevő a használt eszköz állagának megóvásáért fegyelmi és anyagi felelősséggel tartozik.</w:t>
      </w:r>
    </w:p>
    <w:p w:rsidR="008637D9" w:rsidRDefault="008637D9" w:rsidP="008637D9">
      <w:pPr>
        <w:pStyle w:val="NormlWeb"/>
        <w:spacing w:after="284" w:afterAutospacing="0"/>
        <w:jc w:val="center"/>
      </w:pPr>
      <w:r>
        <w:rPr>
          <w:b/>
          <w:bCs/>
        </w:rPr>
        <w:br/>
        <w:t>IV.  Záró rendelkezések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both"/>
      </w:pPr>
      <w:r>
        <w:lastRenderedPageBreak/>
        <w:t>9.  Ez a szakutasítás 2015. január 15-én lép hatályba.</w:t>
      </w:r>
    </w:p>
    <w:p w:rsidR="008637D9" w:rsidRDefault="008637D9" w:rsidP="008637D9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8637D9" w:rsidRDefault="00EE3043" w:rsidP="008637D9">
      <w:pPr>
        <w:jc w:val="both"/>
      </w:pPr>
    </w:p>
    <w:sectPr w:rsidR="00EE3043" w:rsidRPr="008637D9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E0"/>
    <w:multiLevelType w:val="multilevel"/>
    <w:tmpl w:val="FD1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3"/>
  </w:num>
  <w:num w:numId="3">
    <w:abstractNumId w:val="38"/>
  </w:num>
  <w:num w:numId="4">
    <w:abstractNumId w:val="7"/>
  </w:num>
  <w:num w:numId="5">
    <w:abstractNumId w:val="45"/>
  </w:num>
  <w:num w:numId="6">
    <w:abstractNumId w:val="10"/>
  </w:num>
  <w:num w:numId="7">
    <w:abstractNumId w:val="12"/>
  </w:num>
  <w:num w:numId="8">
    <w:abstractNumId w:val="17"/>
  </w:num>
  <w:num w:numId="9">
    <w:abstractNumId w:val="3"/>
  </w:num>
  <w:num w:numId="10">
    <w:abstractNumId w:val="44"/>
  </w:num>
  <w:num w:numId="11">
    <w:abstractNumId w:val="19"/>
  </w:num>
  <w:num w:numId="12">
    <w:abstractNumId w:val="46"/>
  </w:num>
  <w:num w:numId="13">
    <w:abstractNumId w:val="24"/>
  </w:num>
  <w:num w:numId="14">
    <w:abstractNumId w:val="34"/>
  </w:num>
  <w:num w:numId="15">
    <w:abstractNumId w:val="16"/>
  </w:num>
  <w:num w:numId="16">
    <w:abstractNumId w:val="37"/>
  </w:num>
  <w:num w:numId="17">
    <w:abstractNumId w:val="35"/>
  </w:num>
  <w:num w:numId="18">
    <w:abstractNumId w:val="39"/>
  </w:num>
  <w:num w:numId="19">
    <w:abstractNumId w:val="1"/>
  </w:num>
  <w:num w:numId="20">
    <w:abstractNumId w:val="9"/>
  </w:num>
  <w:num w:numId="21">
    <w:abstractNumId w:val="30"/>
  </w:num>
  <w:num w:numId="22">
    <w:abstractNumId w:val="23"/>
  </w:num>
  <w:num w:numId="23">
    <w:abstractNumId w:val="22"/>
  </w:num>
  <w:num w:numId="24">
    <w:abstractNumId w:val="2"/>
  </w:num>
  <w:num w:numId="25">
    <w:abstractNumId w:val="28"/>
  </w:num>
  <w:num w:numId="26">
    <w:abstractNumId w:val="8"/>
  </w:num>
  <w:num w:numId="27">
    <w:abstractNumId w:val="4"/>
  </w:num>
  <w:num w:numId="28">
    <w:abstractNumId w:val="14"/>
  </w:num>
  <w:num w:numId="29">
    <w:abstractNumId w:val="5"/>
  </w:num>
  <w:num w:numId="30">
    <w:abstractNumId w:val="15"/>
  </w:num>
  <w:num w:numId="31">
    <w:abstractNumId w:val="31"/>
  </w:num>
  <w:num w:numId="32">
    <w:abstractNumId w:val="26"/>
  </w:num>
  <w:num w:numId="33">
    <w:abstractNumId w:val="20"/>
  </w:num>
  <w:num w:numId="34">
    <w:abstractNumId w:val="6"/>
  </w:num>
  <w:num w:numId="35">
    <w:abstractNumId w:val="29"/>
  </w:num>
  <w:num w:numId="36">
    <w:abstractNumId w:val="40"/>
  </w:num>
  <w:num w:numId="37">
    <w:abstractNumId w:val="21"/>
  </w:num>
  <w:num w:numId="38">
    <w:abstractNumId w:val="27"/>
  </w:num>
  <w:num w:numId="39">
    <w:abstractNumId w:val="41"/>
  </w:num>
  <w:num w:numId="40">
    <w:abstractNumId w:val="11"/>
  </w:num>
  <w:num w:numId="41">
    <w:abstractNumId w:val="25"/>
  </w:num>
  <w:num w:numId="42">
    <w:abstractNumId w:val="13"/>
  </w:num>
  <w:num w:numId="43">
    <w:abstractNumId w:val="32"/>
  </w:num>
  <w:num w:numId="44">
    <w:abstractNumId w:val="47"/>
  </w:num>
  <w:num w:numId="45">
    <w:abstractNumId w:val="43"/>
  </w:num>
  <w:num w:numId="46">
    <w:abstractNumId w:val="18"/>
  </w:num>
  <w:num w:numId="47">
    <w:abstractNumId w:val="36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95A00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4268E4"/>
    <w:rsid w:val="00443104"/>
    <w:rsid w:val="004555C7"/>
    <w:rsid w:val="0047259B"/>
    <w:rsid w:val="004915EA"/>
    <w:rsid w:val="004F2030"/>
    <w:rsid w:val="005053C3"/>
    <w:rsid w:val="00526DF2"/>
    <w:rsid w:val="005E2337"/>
    <w:rsid w:val="005E3E63"/>
    <w:rsid w:val="00654CAB"/>
    <w:rsid w:val="00671737"/>
    <w:rsid w:val="0067365F"/>
    <w:rsid w:val="00675343"/>
    <w:rsid w:val="00686D56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87DE1"/>
    <w:rsid w:val="00CF5761"/>
    <w:rsid w:val="00D24E52"/>
    <w:rsid w:val="00D25C5F"/>
    <w:rsid w:val="00D95417"/>
    <w:rsid w:val="00DA67D2"/>
    <w:rsid w:val="00DC4B23"/>
    <w:rsid w:val="00DC778D"/>
    <w:rsid w:val="00E17B1A"/>
    <w:rsid w:val="00E3550C"/>
    <w:rsid w:val="00E369B4"/>
    <w:rsid w:val="00EA0613"/>
    <w:rsid w:val="00EB6682"/>
    <w:rsid w:val="00EE3043"/>
    <w:rsid w:val="00F249C8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8AB5-2146-4C32-B550-9A9D7083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7</cp:revision>
  <dcterms:created xsi:type="dcterms:W3CDTF">2015-09-26T11:08:00Z</dcterms:created>
  <dcterms:modified xsi:type="dcterms:W3CDTF">2017-04-21T21:03:00Z</dcterms:modified>
</cp:coreProperties>
</file>