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F8" w:rsidRDefault="00B323F8" w:rsidP="00B323F8">
      <w:pPr>
        <w:pStyle w:val="NormlWeb"/>
        <w:pBdr>
          <w:bottom w:val="single" w:sz="8" w:space="1" w:color="000000"/>
        </w:pBdr>
        <w:shd w:val="clear" w:color="auto" w:fill="E6E6E6"/>
        <w:spacing w:after="284" w:afterAutospacing="0"/>
      </w:pPr>
      <w:r>
        <w:rPr>
          <w:rFonts w:ascii="Arial" w:hAnsi="Arial" w:cs="Arial"/>
          <w:b/>
          <w:bCs/>
          <w:sz w:val="20"/>
          <w:szCs w:val="20"/>
        </w:rPr>
        <w:t>EGYSÉGES SZERKEZETBEN</w:t>
      </w:r>
      <w:r>
        <w:t xml:space="preserve"> </w:t>
      </w:r>
    </w:p>
    <w:p w:rsidR="00B323F8" w:rsidRDefault="00B323F8" w:rsidP="00B323F8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51/2014. (XII.23.) OP</w:t>
      </w:r>
    </w:p>
    <w:p w:rsidR="00B323F8" w:rsidRDefault="00B323F8" w:rsidP="00B323F8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>s z a k u t a s í t á s a</w:t>
      </w:r>
    </w:p>
    <w:p w:rsidR="00B323F8" w:rsidRDefault="00B323F8" w:rsidP="00B323F8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>a belföldi reprezentáció rendjének szabályozásáról</w:t>
      </w:r>
    </w:p>
    <w:p w:rsidR="00B323F8" w:rsidRDefault="00B323F8" w:rsidP="00B323F8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(IX.13.) BVOP utasítás 7. pontja alapján - figyelemmel a személyi jövedelemadóról szóló 1995. évi CXVII. törvényben és az államháztartásról szóló törvény végrehajtásáról szóló 368/2011. (XII. 31.) Korm. rendelet 13. § (2) bekezdésének e) pontjában meghatározottakra - a belföldi reprezentáció egységes szabályozása, a várható kiadások tervezhetősége, valamint a normaösszegek meghatározása és a pénzügyi fegyelem szigorú betartása érdekében kiadom az alábbi</w:t>
      </w:r>
    </w:p>
    <w:p w:rsidR="00B323F8" w:rsidRDefault="00B323F8" w:rsidP="00B323F8">
      <w:pPr>
        <w:pStyle w:val="NormlWeb"/>
        <w:spacing w:after="284" w:afterAutospacing="0"/>
        <w:jc w:val="center"/>
      </w:pPr>
      <w:r>
        <w:rPr>
          <w:i/>
          <w:iCs/>
        </w:rPr>
        <w:t>s z a k u t a s í t á s t :</w:t>
      </w:r>
    </w:p>
    <w:p w:rsidR="00B323F8" w:rsidRDefault="00B323F8" w:rsidP="00B323F8">
      <w:pPr>
        <w:pStyle w:val="NormlWeb"/>
        <w:spacing w:after="284" w:afterAutospacing="0"/>
        <w:jc w:val="center"/>
      </w:pPr>
      <w:r>
        <w:rPr>
          <w:b/>
          <w:bCs/>
        </w:rPr>
        <w:t>1.  I. FEJEZET</w:t>
      </w:r>
      <w:r>
        <w:rPr>
          <w:b/>
          <w:bCs/>
        </w:rPr>
        <w:br/>
        <w:t>ÁLTALÁNOS RENDELKEZÉSEK</w:t>
      </w:r>
    </w:p>
    <w:p w:rsidR="00B323F8" w:rsidRDefault="00B323F8" w:rsidP="00B323F8">
      <w:pPr>
        <w:pStyle w:val="NormlWeb"/>
        <w:spacing w:after="284" w:afterAutospacing="0"/>
        <w:jc w:val="center"/>
      </w:pPr>
      <w:r>
        <w:rPr>
          <w:b/>
          <w:bCs/>
        </w:rPr>
        <w:t>1.  Hatály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>1.  A szakutasítás hatálya kiterjed:</w:t>
      </w:r>
    </w:p>
    <w:p w:rsidR="00B323F8" w:rsidRDefault="00B323F8" w:rsidP="00B323F8">
      <w:pPr>
        <w:pStyle w:val="NormlWeb"/>
        <w:numPr>
          <w:ilvl w:val="1"/>
          <w:numId w:val="7"/>
        </w:numPr>
        <w:jc w:val="both"/>
      </w:pPr>
      <w:r>
        <w:t>a Büntetés-végrehajtás Országos Parancsnokságára (a továbbiakban: BVOP);</w:t>
      </w:r>
    </w:p>
    <w:p w:rsidR="00B323F8" w:rsidRDefault="00B323F8" w:rsidP="00B323F8">
      <w:pPr>
        <w:pStyle w:val="NormlWeb"/>
        <w:numPr>
          <w:ilvl w:val="1"/>
          <w:numId w:val="7"/>
        </w:numPr>
        <w:jc w:val="both"/>
      </w:pPr>
      <w:r>
        <w:t xml:space="preserve">a büntetés-végrehajtási intézetekre, intézményekre (továbbiakban: </w:t>
      </w:r>
      <w:proofErr w:type="spellStart"/>
      <w:r>
        <w:t>bv</w:t>
      </w:r>
      <w:proofErr w:type="spellEnd"/>
      <w:r>
        <w:t xml:space="preserve">. intézetek), (a) és b) a továbbiakban együttesen: </w:t>
      </w:r>
      <w:proofErr w:type="spellStart"/>
      <w:r>
        <w:t>bv</w:t>
      </w:r>
      <w:proofErr w:type="spellEnd"/>
      <w:r>
        <w:t>. szerv).</w:t>
      </w:r>
    </w:p>
    <w:p w:rsidR="00B323F8" w:rsidRDefault="00B323F8" w:rsidP="00B323F8">
      <w:pPr>
        <w:pStyle w:val="NormlWeb"/>
        <w:spacing w:after="284" w:afterAutospacing="0"/>
        <w:jc w:val="center"/>
      </w:pPr>
      <w:r>
        <w:rPr>
          <w:b/>
          <w:bCs/>
        </w:rPr>
        <w:t>2. Értelmező rendelkezések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>2.  A szakutasítás alkalmazásában:</w:t>
      </w:r>
    </w:p>
    <w:p w:rsidR="00B323F8" w:rsidRDefault="00B323F8" w:rsidP="00B323F8">
      <w:pPr>
        <w:pStyle w:val="NormlWeb"/>
        <w:numPr>
          <w:ilvl w:val="1"/>
          <w:numId w:val="8"/>
        </w:numPr>
        <w:jc w:val="both"/>
      </w:pPr>
      <w:r>
        <w:rPr>
          <w:i/>
          <w:iCs/>
        </w:rPr>
        <w:t>reprezentáció</w:t>
      </w:r>
      <w:r>
        <w:t>: a juttató tevékenységével összefüggő üzleti, hivatali, szakmai, diplomáciai vagy hitéleti rendezvény, esemény keretében, továbbá az állami, egyházi ünnepek alkalmával nyújtott vendéglátás (étel, ital) és a rendezvényhez, eseményhez kapcsolódó szolgáltatás (utazás, szállás, szabadidőprogram stb.);</w:t>
      </w:r>
    </w:p>
    <w:p w:rsidR="00B323F8" w:rsidRDefault="00B323F8" w:rsidP="00B323F8">
      <w:pPr>
        <w:pStyle w:val="NormlWeb"/>
        <w:numPr>
          <w:ilvl w:val="1"/>
          <w:numId w:val="8"/>
        </w:numPr>
        <w:jc w:val="both"/>
      </w:pPr>
      <w:r>
        <w:rPr>
          <w:i/>
          <w:iCs/>
        </w:rPr>
        <w:t>vezetői reprezentáció</w:t>
      </w:r>
      <w:r>
        <w:t>: az a költségtérítés, amely az 1. mellékletben felsorolt vezetőket a beosztásukkal kapcsolatban megilleti;</w:t>
      </w:r>
    </w:p>
    <w:p w:rsidR="00B323F8" w:rsidRDefault="00B323F8" w:rsidP="00B323F8">
      <w:pPr>
        <w:pStyle w:val="NormlWeb"/>
        <w:numPr>
          <w:ilvl w:val="1"/>
          <w:numId w:val="8"/>
        </w:numPr>
        <w:jc w:val="both"/>
      </w:pPr>
      <w:r>
        <w:rPr>
          <w:i/>
          <w:iCs/>
        </w:rPr>
        <w:t>belföldi reprezentáció:</w:t>
      </w:r>
      <w:r>
        <w:t xml:space="preserve"> a vezetői reprezentáció, továbbá a 10-11. pontokban meghatározott esetekben az ünnepségekkel, rendezvényekkel kapcsolatos fogadás és vendéglátás elszámolható költségei;</w:t>
      </w:r>
    </w:p>
    <w:p w:rsidR="00B323F8" w:rsidRDefault="00B323F8" w:rsidP="00B323F8">
      <w:pPr>
        <w:pStyle w:val="NormlWeb"/>
        <w:numPr>
          <w:ilvl w:val="1"/>
          <w:numId w:val="8"/>
        </w:numPr>
        <w:jc w:val="both"/>
      </w:pPr>
      <w:r>
        <w:rPr>
          <w:i/>
          <w:iCs/>
        </w:rPr>
        <w:t>ünnepség</w:t>
      </w:r>
      <w:r>
        <w:t>:</w:t>
      </w:r>
      <w:r>
        <w:br/>
        <w:t>da)   a kiemelt állami ünnepekkel (március 15., augusztus 20., október 23.),</w:t>
      </w:r>
      <w:r>
        <w:br/>
        <w:t>db)   május 1-jével, valamint</w:t>
      </w:r>
      <w:r>
        <w:br/>
      </w:r>
      <w:proofErr w:type="spellStart"/>
      <w:r>
        <w:t>dc</w:t>
      </w:r>
      <w:proofErr w:type="spellEnd"/>
      <w:r>
        <w:t>)   a Büntetés-végrehajtás napjával (szeptember 8.)</w:t>
      </w:r>
      <w:r>
        <w:br/>
        <w:t>kapcsolatban tartott rendezvények;</w:t>
      </w:r>
    </w:p>
    <w:p w:rsidR="00B323F8" w:rsidRDefault="00B323F8" w:rsidP="00B323F8">
      <w:pPr>
        <w:pStyle w:val="NormlWeb"/>
        <w:numPr>
          <w:ilvl w:val="1"/>
          <w:numId w:val="8"/>
        </w:numPr>
        <w:jc w:val="both"/>
      </w:pPr>
      <w:r>
        <w:rPr>
          <w:i/>
          <w:iCs/>
        </w:rPr>
        <w:lastRenderedPageBreak/>
        <w:t>kiemelt rendezvény</w:t>
      </w:r>
      <w:r>
        <w:t>: az a rendezvény, amelyet a költségvetési szerv vezetője azzá nyilvánít;</w:t>
      </w:r>
    </w:p>
    <w:p w:rsidR="00B323F8" w:rsidRDefault="00B323F8" w:rsidP="00B323F8">
      <w:pPr>
        <w:pStyle w:val="NormlWeb"/>
        <w:numPr>
          <w:ilvl w:val="1"/>
          <w:numId w:val="8"/>
        </w:numPr>
        <w:jc w:val="both"/>
      </w:pPr>
      <w:r>
        <w:rPr>
          <w:i/>
          <w:iCs/>
        </w:rPr>
        <w:t>sajtófogadás</w:t>
      </w:r>
      <w:r>
        <w:t>: minden olyan fogadás, ahol a sajtó képviselői jelen vannak, és nem esik az ünnepség, kiemelt rendezvény fogalma alá;</w:t>
      </w:r>
    </w:p>
    <w:p w:rsidR="00B323F8" w:rsidRDefault="00B323F8" w:rsidP="00B323F8">
      <w:pPr>
        <w:pStyle w:val="NormlWeb"/>
        <w:numPr>
          <w:ilvl w:val="1"/>
          <w:numId w:val="8"/>
        </w:numPr>
        <w:jc w:val="both"/>
      </w:pPr>
      <w:r>
        <w:rPr>
          <w:i/>
          <w:iCs/>
        </w:rPr>
        <w:t>egyéb ünnepség, rendezvény</w:t>
      </w:r>
      <w:r>
        <w:t>: minden olyan ünnep és rendezvény, amely nem tartozik a c)</w:t>
      </w:r>
      <w:proofErr w:type="spellStart"/>
      <w:r>
        <w:t>-d</w:t>
      </w:r>
      <w:proofErr w:type="spellEnd"/>
      <w:r>
        <w:t>) alpontok szerinti fogalmak körébe;</w:t>
      </w:r>
    </w:p>
    <w:p w:rsidR="00B323F8" w:rsidRDefault="00B323F8" w:rsidP="00B323F8">
      <w:pPr>
        <w:pStyle w:val="NormlWeb"/>
        <w:numPr>
          <w:ilvl w:val="1"/>
          <w:numId w:val="8"/>
        </w:numPr>
        <w:jc w:val="both"/>
      </w:pPr>
      <w:r>
        <w:rPr>
          <w:i/>
          <w:iCs/>
        </w:rPr>
        <w:t>nyugdíjas találkozó</w:t>
      </w:r>
      <w:r>
        <w:t>: minden olyan találkozó, amelyen többségében a büntetés-végrehajtási nyugdíjasok vesznek részt;</w:t>
      </w:r>
    </w:p>
    <w:p w:rsidR="00B323F8" w:rsidRDefault="00B323F8" w:rsidP="00B323F8">
      <w:pPr>
        <w:pStyle w:val="NormlWeb"/>
        <w:numPr>
          <w:ilvl w:val="1"/>
          <w:numId w:val="8"/>
        </w:numPr>
        <w:jc w:val="both"/>
      </w:pPr>
      <w:r>
        <w:rPr>
          <w:i/>
          <w:iCs/>
        </w:rPr>
        <w:t>rendezvény</w:t>
      </w:r>
      <w:r>
        <w:t>: d)</w:t>
      </w:r>
      <w:proofErr w:type="spellStart"/>
      <w:r>
        <w:t>-h</w:t>
      </w:r>
      <w:proofErr w:type="spellEnd"/>
      <w:r>
        <w:t>) alpontokban megjelölt ünnepségek, rendezvények, fogadások és találkozók, valamint a költségvetési szerv vezetője, illetve helyettesei által rendszeresen tartott vezetői értekezletek;</w:t>
      </w:r>
    </w:p>
    <w:p w:rsidR="00B323F8" w:rsidRDefault="00B323F8" w:rsidP="00B323F8">
      <w:pPr>
        <w:pStyle w:val="NormlWeb"/>
        <w:numPr>
          <w:ilvl w:val="1"/>
          <w:numId w:val="8"/>
        </w:numPr>
        <w:jc w:val="both"/>
      </w:pPr>
      <w:r>
        <w:rPr>
          <w:i/>
          <w:iCs/>
        </w:rPr>
        <w:t>kezdeményező</w:t>
      </w:r>
      <w:r>
        <w:t>: a 10-11. pontokban meghatározott esetekben az ünnepségeket, kiemelt rendezvényeket kezdeményező és lebonyolító szervezeti egység vezetője; amennyiben azt nem maga bonyolítja le, akkor a lebonyolító szervezeti egységet kijelölő vezető;</w:t>
      </w:r>
    </w:p>
    <w:p w:rsidR="00B323F8" w:rsidRDefault="00B323F8" w:rsidP="00B323F8">
      <w:pPr>
        <w:pStyle w:val="NormlWeb"/>
        <w:numPr>
          <w:ilvl w:val="1"/>
          <w:numId w:val="8"/>
        </w:numPr>
        <w:jc w:val="both"/>
      </w:pPr>
      <w:r>
        <w:rPr>
          <w:i/>
          <w:iCs/>
        </w:rPr>
        <w:t>üzleti ajándék</w:t>
      </w:r>
      <w:r>
        <w:t>: a juttató tevékenységével összefüggő üzleti, hivatali, szakmai, diplomáciai vagy hitéleti kapcsolatok keretében adott ajándék (ingyenesen vagy kedvezményesen adott termék, nyújtott szolgáltatás, valamint a kizárólag erre szóló utalvány);</w:t>
      </w:r>
    </w:p>
    <w:p w:rsidR="00B323F8" w:rsidRDefault="00B323F8" w:rsidP="00B323F8">
      <w:pPr>
        <w:pStyle w:val="NormlWeb"/>
        <w:numPr>
          <w:ilvl w:val="1"/>
          <w:numId w:val="8"/>
        </w:numPr>
        <w:jc w:val="both"/>
      </w:pPr>
      <w:r>
        <w:rPr>
          <w:i/>
          <w:iCs/>
        </w:rPr>
        <w:t>időarányosítás</w:t>
      </w:r>
      <w:r>
        <w:t>: a jogosultság mértékét a naptári napok száma alapján kell meghatározni.</w:t>
      </w:r>
    </w:p>
    <w:p w:rsidR="00B323F8" w:rsidRDefault="00B323F8" w:rsidP="00B323F8">
      <w:pPr>
        <w:pStyle w:val="NormlWeb"/>
        <w:spacing w:after="284" w:afterAutospacing="0"/>
        <w:jc w:val="center"/>
      </w:pPr>
      <w:r>
        <w:rPr>
          <w:b/>
          <w:bCs/>
        </w:rPr>
        <w:br/>
        <w:t>II. FEJEZET</w:t>
      </w:r>
      <w:r>
        <w:rPr>
          <w:b/>
          <w:bCs/>
        </w:rPr>
        <w:br/>
        <w:t>RÉSZLETES RENDELKEZÉSEK</w:t>
      </w:r>
    </w:p>
    <w:p w:rsidR="00B323F8" w:rsidRDefault="00B323F8" w:rsidP="00B323F8">
      <w:pPr>
        <w:pStyle w:val="NormlWeb"/>
        <w:spacing w:after="284" w:afterAutospacing="0"/>
        <w:jc w:val="center"/>
      </w:pPr>
      <w:r>
        <w:rPr>
          <w:b/>
          <w:bCs/>
        </w:rPr>
        <w:t>3. A belföldi reprezentációra való jogosultság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>3.  A vezetői reprezentáció felhasználására az 1. mellékletben felsorolt vezetők az ott meghatározott összeg erejéig jogosultak.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>4.  A vezetői reprezentáció terhére csak a vezetői tevékenységgel összefüggő, reprezentációs célokat szolgáló kiadások számolhatók el.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>5.  A költségvetési szervek vezetői a gazdálkodás körülményeire, illetve a helyi sajátosságokra tekintettel az 1. mellékletben meghatározottaktól eltérhetnek, feltéve, hogy</w:t>
      </w:r>
    </w:p>
    <w:p w:rsidR="00B323F8" w:rsidRDefault="00B323F8" w:rsidP="00B323F8">
      <w:pPr>
        <w:pStyle w:val="NormlWeb"/>
        <w:numPr>
          <w:ilvl w:val="1"/>
          <w:numId w:val="9"/>
        </w:numPr>
        <w:jc w:val="both"/>
      </w:pPr>
      <w:r>
        <w:t>az ilyen módon személyenként megállapított összeg nagysága éves szinten nem haladja meg az 1. melléklet szerinti havi keretösszeg és a jogosultsági hónapok számának szorzatát és</w:t>
      </w:r>
    </w:p>
    <w:p w:rsidR="00B323F8" w:rsidRDefault="00B323F8" w:rsidP="00B323F8">
      <w:pPr>
        <w:pStyle w:val="NormlWeb"/>
        <w:numPr>
          <w:ilvl w:val="1"/>
          <w:numId w:val="9"/>
        </w:numPr>
        <w:jc w:val="both"/>
      </w:pPr>
      <w:r>
        <w:t>az így felmerülő kiadások éves összege nem haladja meg az 1. melléklet alapján számított vezetői reprezentáció keretösszegét.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 xml:space="preserve">6.  A vezetői reprezentáció személyhez kötött, egyéni keret, amely a vezetői beosztásban töltött időre jár azzal, hogy </w:t>
      </w:r>
    </w:p>
    <w:p w:rsidR="00B323F8" w:rsidRDefault="00B323F8" w:rsidP="00B323F8">
      <w:pPr>
        <w:pStyle w:val="NormlWeb"/>
        <w:numPr>
          <w:ilvl w:val="1"/>
          <w:numId w:val="10"/>
        </w:numPr>
        <w:jc w:val="both"/>
      </w:pPr>
      <w:r>
        <w:t>a vezető kizárólag egy jogcímen veheti igénybe a havi reprezentációs keretösszeget,</w:t>
      </w:r>
    </w:p>
    <w:p w:rsidR="00B323F8" w:rsidRDefault="00B323F8" w:rsidP="00B323F8">
      <w:pPr>
        <w:pStyle w:val="NormlWeb"/>
        <w:numPr>
          <w:ilvl w:val="1"/>
          <w:numId w:val="10"/>
        </w:numPr>
        <w:jc w:val="both"/>
      </w:pPr>
      <w:r>
        <w:lastRenderedPageBreak/>
        <w:t>amennyiben a vezető beosztása az elszámolási időszakban változik meg és az új beosztásában is jogosult vezetői reprezentációra, úgy azt az elszámolási időszakon belül időarányosan kell elszámolni;</w:t>
      </w:r>
    </w:p>
    <w:p w:rsidR="00B323F8" w:rsidRDefault="00B323F8" w:rsidP="00B323F8">
      <w:pPr>
        <w:pStyle w:val="NormlWeb"/>
        <w:numPr>
          <w:ilvl w:val="1"/>
          <w:numId w:val="10"/>
        </w:numPr>
        <w:jc w:val="both"/>
      </w:pPr>
      <w:r>
        <w:t>amennyiben a vezetőt az elszámolási időszakban beosztásából felmentik, illetve szolgálati, kormánytisztviselői vagy közalkalmazotti jogviszonya megszűnik, úgy a vezetői reprezentáció keretösszegével időarányosan köteles elszámolni.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>7.  Az 1. mellékletben, valamint az ünnepségekhez, kiemelt rendezvényekhez kapcsolódó fogadási és vendéglátási normákat tartalmazó 2. mellékletben meghatározott keretösszegek és költségnormák felhasználására a megbízott vezető is jogosult. Amennyiben a kinevezett vezető más vezetői feladat ellátására is megbízást kap, úgy az ellátott vezetői beosztásokra vonatkozó keretösszegek és költségnormák közül - az elszámolási időszakon belül arányosan - a magasabb összegű illeti meg.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 xml:space="preserve">8.  A vezetői reprezentáció keretösszege nem fizethető ki azoknak a vezetőknek, akinek tartósan, megszakítás nélkül legalább 30 napnál hosszabb ideig - az éves rendes szabadság kivételével - szünetel a munkavégzése. Ezt a távollétet az érintett vezető haladéktalanul - legkésőbb 2 munkanapon belül - köteles jelenteni a </w:t>
      </w:r>
      <w:proofErr w:type="spellStart"/>
      <w:r>
        <w:t>bv</w:t>
      </w:r>
      <w:proofErr w:type="spellEnd"/>
      <w:r>
        <w:t xml:space="preserve">. szerv pénzügyi feladatait ellátó szervezeti egység (a </w:t>
      </w:r>
      <w:proofErr w:type="spellStart"/>
      <w:r>
        <w:t>BVOP-n</w:t>
      </w:r>
      <w:proofErr w:type="spellEnd"/>
      <w:r>
        <w:t xml:space="preserve"> a Közgazdasági Főosztály) felé. A keretösszeg felhasználhatóságára való jogosultság abban a hónapban szűnik meg, amelyikben a munkában töltött napok száma kevesebb 10 napnál, és abban a hónapban nyílik meg újra, amelyikben a munkában töltött napok száma meghaladja a 10 napot.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 xml:space="preserve">9.  Belföldi és külföldi vendégnek vásárolt, illetve a </w:t>
      </w:r>
      <w:proofErr w:type="spellStart"/>
      <w:r>
        <w:t>bv</w:t>
      </w:r>
      <w:proofErr w:type="spellEnd"/>
      <w:r>
        <w:t xml:space="preserve">. szervezet által rendszeresített jelképek, ajándékok adhatóak a </w:t>
      </w:r>
      <w:proofErr w:type="spellStart"/>
      <w:r>
        <w:t>BVOP-n</w:t>
      </w:r>
      <w:proofErr w:type="spellEnd"/>
      <w:r>
        <w:t xml:space="preserve"> az országos parancsnok és az országos parancsnok helyettesei, a </w:t>
      </w:r>
      <w:proofErr w:type="spellStart"/>
      <w:r>
        <w:t>bv</w:t>
      </w:r>
      <w:proofErr w:type="spellEnd"/>
      <w:r>
        <w:t>. intézeteknél az intézet vezetőjének engedélye alapján. Az ajándék értéke esetenként, személyenként nem haladhatja meg a 40.000 Ft-ot. Reprezentáció keretében ajándék kizárólag az adójogi jogszabályok rendelkezéseinek figyelembevételével adható.</w:t>
      </w:r>
    </w:p>
    <w:p w:rsidR="00B323F8" w:rsidRDefault="00B323F8" w:rsidP="006A7058">
      <w:pPr>
        <w:pStyle w:val="NormlWeb"/>
        <w:shd w:val="clear" w:color="auto" w:fill="E6E6E6"/>
        <w:tabs>
          <w:tab w:val="left" w:pos="2552"/>
        </w:tabs>
        <w:spacing w:before="0" w:beforeAutospacing="0" w:after="240" w:afterAutospacing="0"/>
        <w:ind w:left="568" w:hanging="284"/>
        <w:jc w:val="both"/>
      </w:pPr>
      <w:r>
        <w:t>10. </w:t>
      </w:r>
      <w:r w:rsidR="001279D3" w:rsidRPr="001279D3">
        <w:t>Ünnepségnek és kiemelt rendezvénynek kizárólag a szakutasítás hatálya alá tartozó költségvetési szervek éves jóváhagyott munkatervében vagy rendezvénytervében (a továbbiakban: Munkaterv) felsoroltak minősülnek, amelyek vonatkozásában 2. melléklet szerinti mértékű költségnorma jár.</w:t>
      </w:r>
    </w:p>
    <w:p w:rsidR="00B323F8" w:rsidRDefault="00B323F8" w:rsidP="006A7058">
      <w:pPr>
        <w:pStyle w:val="NormlWeb"/>
        <w:shd w:val="clear" w:color="auto" w:fill="E6E6E6"/>
        <w:tabs>
          <w:tab w:val="left" w:pos="2552"/>
        </w:tabs>
        <w:spacing w:before="0" w:beforeAutospacing="0" w:after="240" w:afterAutospacing="0"/>
        <w:ind w:left="567" w:hanging="283"/>
        <w:jc w:val="both"/>
      </w:pPr>
      <w:r>
        <w:t>11. </w:t>
      </w:r>
      <w:r w:rsidR="001279D3" w:rsidRPr="001279D3">
        <w:t xml:space="preserve">Különösen indokolt esetben egyedi kérelemre a Munkatervben nem szereplő rendezvény reprezentációs költségeinek a 2. mellékletben foglalt költségnormák alapján történő elszámolása a </w:t>
      </w:r>
      <w:proofErr w:type="spellStart"/>
      <w:r w:rsidR="001279D3" w:rsidRPr="001279D3">
        <w:t>BVOP-n</w:t>
      </w:r>
      <w:proofErr w:type="spellEnd"/>
      <w:r w:rsidR="001279D3" w:rsidRPr="001279D3">
        <w:t xml:space="preserve"> az országos parancsnok vagy a szakterületet irányító helyettese, a </w:t>
      </w:r>
      <w:proofErr w:type="spellStart"/>
      <w:r w:rsidR="001279D3" w:rsidRPr="001279D3">
        <w:t>bv</w:t>
      </w:r>
      <w:proofErr w:type="spellEnd"/>
      <w:r w:rsidR="001279D3" w:rsidRPr="001279D3">
        <w:t>. intézetek vonatkozásában a parancsnok előzetes engedélye alapján lehetséges, melyről a 9. mellékletet kell aláírva a 3. melléklettel együtt benyújtani. Amennyiben a külön engedély nem kerül benyújtásra, a rendezvény költsége kizárólag a kezdeményező szervezeti egység vezetőjének havi reprezentációs kerete terhére számolható el</w:t>
      </w:r>
      <w:r w:rsidR="001279D3">
        <w:t>.</w:t>
      </w:r>
    </w:p>
    <w:p w:rsidR="00B323F8" w:rsidRDefault="00B323F8" w:rsidP="006A7058">
      <w:pPr>
        <w:pStyle w:val="NormlWeb"/>
        <w:shd w:val="clear" w:color="auto" w:fill="E6E6E6"/>
        <w:tabs>
          <w:tab w:val="left" w:pos="2552"/>
        </w:tabs>
        <w:spacing w:before="0" w:beforeAutospacing="0" w:after="0" w:afterAutospacing="0"/>
        <w:ind w:left="568" w:hanging="284"/>
        <w:jc w:val="both"/>
      </w:pPr>
      <w:r>
        <w:t>12. </w:t>
      </w:r>
      <w:r w:rsidR="001279D3" w:rsidRPr="001279D3">
        <w:t>A 2. melléklet szerinti mértékű élelmezési költségnorma túllépése a 3. melléklet szerinti igénybejelentő lapon kérelmezhető</w:t>
      </w:r>
      <w:r>
        <w:t>:</w:t>
      </w:r>
    </w:p>
    <w:p w:rsidR="00B323F8" w:rsidRDefault="001279D3" w:rsidP="006A7058">
      <w:pPr>
        <w:pStyle w:val="NormlWeb"/>
        <w:numPr>
          <w:ilvl w:val="0"/>
          <w:numId w:val="15"/>
        </w:numPr>
        <w:shd w:val="clear" w:color="auto" w:fill="E6E6E6"/>
        <w:tabs>
          <w:tab w:val="left" w:pos="2552"/>
        </w:tabs>
        <w:spacing w:before="0" w:beforeAutospacing="0" w:after="0" w:afterAutospacing="0"/>
        <w:ind w:left="1418"/>
        <w:jc w:val="both"/>
      </w:pPr>
      <w:r w:rsidRPr="001279D3">
        <w:t>a BVOP tekintetében a Közgazdasági Főosztály útján, a gazdasági és informatikai helyettesnél</w:t>
      </w:r>
      <w:r w:rsidR="00B323F8">
        <w:t>;</w:t>
      </w:r>
    </w:p>
    <w:p w:rsidR="00B323F8" w:rsidRPr="001279D3" w:rsidRDefault="001279D3" w:rsidP="006A7058">
      <w:pPr>
        <w:pStyle w:val="NormlWeb"/>
        <w:numPr>
          <w:ilvl w:val="0"/>
          <w:numId w:val="15"/>
        </w:numPr>
        <w:shd w:val="clear" w:color="auto" w:fill="E6E6E6"/>
        <w:tabs>
          <w:tab w:val="left" w:pos="2552"/>
        </w:tabs>
        <w:spacing w:before="0" w:beforeAutospacing="0" w:after="0" w:afterAutospacing="0"/>
        <w:ind w:left="1418"/>
        <w:jc w:val="both"/>
      </w:pPr>
      <w:r w:rsidRPr="001279D3">
        <w:lastRenderedPageBreak/>
        <w:t xml:space="preserve">a </w:t>
      </w:r>
      <w:proofErr w:type="spellStart"/>
      <w:r w:rsidRPr="001279D3">
        <w:t>bv</w:t>
      </w:r>
      <w:proofErr w:type="spellEnd"/>
      <w:r w:rsidRPr="001279D3">
        <w:t xml:space="preserve">. intézetek vonatkozásában a </w:t>
      </w:r>
      <w:proofErr w:type="spellStart"/>
      <w:r w:rsidRPr="001279D3">
        <w:t>bv</w:t>
      </w:r>
      <w:proofErr w:type="spellEnd"/>
      <w:r w:rsidRPr="001279D3">
        <w:t>. intézet parancsnoknál, a gazdasági vezető útján</w:t>
      </w:r>
    </w:p>
    <w:p w:rsidR="00B323F8" w:rsidRDefault="001279D3" w:rsidP="006A7058">
      <w:pPr>
        <w:pStyle w:val="NormlWeb"/>
        <w:shd w:val="clear" w:color="auto" w:fill="E6E6E6"/>
        <w:tabs>
          <w:tab w:val="left" w:pos="2552"/>
        </w:tabs>
        <w:spacing w:before="0" w:beforeAutospacing="0" w:after="0" w:afterAutospacing="0"/>
        <w:ind w:left="568" w:hanging="284"/>
        <w:jc w:val="both"/>
      </w:pPr>
      <w:r w:rsidRPr="001279D3">
        <w:t>aki engedélyét, illetve egyetértését az igénybejelentő lapra jegyzi rá</w:t>
      </w:r>
      <w:r w:rsidR="00B323F8">
        <w:t>.</w:t>
      </w:r>
    </w:p>
    <w:p w:rsidR="00200B55" w:rsidRPr="00200B55" w:rsidRDefault="00200B55" w:rsidP="00200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B55">
        <w:rPr>
          <w:rFonts w:ascii="Times New Roman" w:eastAsia="Times New Roman" w:hAnsi="Times New Roman" w:cs="Times New Roman"/>
          <w:i/>
          <w:iCs/>
          <w:sz w:val="20"/>
          <w:szCs w:val="20"/>
        </w:rPr>
        <w:t>Módosította: 28/2016 OP szakutasítás, 2016.07.15.</w:t>
      </w:r>
    </w:p>
    <w:p w:rsidR="00200B55" w:rsidRDefault="00200B55" w:rsidP="00B323F8">
      <w:pPr>
        <w:pStyle w:val="NormlWeb"/>
        <w:spacing w:after="284" w:afterAutospacing="0"/>
        <w:ind w:left="567"/>
        <w:jc w:val="both"/>
      </w:pPr>
    </w:p>
    <w:p w:rsidR="00B323F8" w:rsidRDefault="00B323F8" w:rsidP="00B323F8">
      <w:pPr>
        <w:pStyle w:val="NormlWeb"/>
        <w:spacing w:after="284" w:afterAutospacing="0"/>
        <w:jc w:val="center"/>
      </w:pPr>
      <w:r>
        <w:rPr>
          <w:b/>
          <w:bCs/>
        </w:rPr>
        <w:t>4. A belföldi reprezentáció elszámolásának szabályai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>13. A vezetői reprezentáció havi összegének felhasználása esetén:</w:t>
      </w:r>
    </w:p>
    <w:p w:rsidR="001279D3" w:rsidRDefault="001279D3" w:rsidP="00C13B7B">
      <w:pPr>
        <w:pStyle w:val="NormlWeb"/>
        <w:numPr>
          <w:ilvl w:val="1"/>
          <w:numId w:val="12"/>
        </w:numPr>
        <w:shd w:val="clear" w:color="auto" w:fill="D9D9D9" w:themeFill="background1" w:themeFillShade="D9"/>
        <w:jc w:val="both"/>
      </w:pPr>
      <w:r w:rsidRPr="001279D3">
        <w:t xml:space="preserve">Az országos parancsnok, az országos parancsnokhelyettesek, a parancsnokok/igazgatók és a szakirányító 1. és 2. beosztású vezetők a vezetői reprezentáció keretösszegével utólagosan, a keretösszeg kiadásának hónapjában számolnak el. A keretösszeg </w:t>
      </w:r>
      <w:proofErr w:type="spellStart"/>
      <w:r w:rsidRPr="001279D3">
        <w:t>hóközi</w:t>
      </w:r>
      <w:proofErr w:type="spellEnd"/>
      <w:r w:rsidRPr="001279D3">
        <w:t xml:space="preserve"> számfejtést követően minden hónap 10-ig kerül a jogosult vezető számlájára utalásra</w:t>
      </w:r>
      <w:r>
        <w:t>.</w:t>
      </w:r>
    </w:p>
    <w:p w:rsidR="00B323F8" w:rsidRDefault="00B323F8" w:rsidP="001279D3">
      <w:pPr>
        <w:pStyle w:val="NormlWeb"/>
        <w:numPr>
          <w:ilvl w:val="1"/>
          <w:numId w:val="12"/>
        </w:numPr>
        <w:jc w:val="both"/>
      </w:pPr>
      <w:r>
        <w:t>A keretösszeg felhasználását az érintett vezető a tárgyhó utolsó munkanapjáig a büntetés-végrehajtási szerv pénzügyi feladatait ellátó szervezeti egysége felé - a számviteli és az általános forgalmi adóról szóló törvények előírásai alapján, a költségvetési szerv nevére kiállított - számla megküldésével köteles igazolni. Amennyiben az arra jogosult vezető tárgyhó utolsó munkanapjáig nem számol el a keretösszeggel, úgy - a 8. melléklet szerinti kifejezett hozzájárulásával - a következő havi illetményéből a fel nem használt reprezentációs keretösszeg levonásra kerül. A kitöltött 8. mellékletet minden év január 15-ig meg kell küldeni a BVOP Illetmény-számfejtési Osztályának.</w:t>
      </w:r>
    </w:p>
    <w:p w:rsidR="00B323F8" w:rsidRDefault="00B323F8" w:rsidP="00B323F8">
      <w:pPr>
        <w:pStyle w:val="NormlWeb"/>
        <w:numPr>
          <w:ilvl w:val="1"/>
          <w:numId w:val="12"/>
        </w:numPr>
        <w:jc w:val="both"/>
      </w:pPr>
      <w:r>
        <w:t xml:space="preserve">A </w:t>
      </w:r>
      <w:proofErr w:type="spellStart"/>
      <w:r>
        <w:t>bv</w:t>
      </w:r>
      <w:proofErr w:type="spellEnd"/>
      <w:r>
        <w:t xml:space="preserve">. szerv pénzügyi feladatait ellátó szervezeti egysége (a </w:t>
      </w:r>
      <w:proofErr w:type="spellStart"/>
      <w:r>
        <w:t>BVOP-n</w:t>
      </w:r>
      <w:proofErr w:type="spellEnd"/>
      <w:r>
        <w:t xml:space="preserve"> a Házipénztár) köteles analitikát vezetni a reprezentációs keretösszegre jogosult vezetőkről, valamint a keretösszeg felhasználásáról (külön kiemelve a vezetőkben bekövetkezett változásokat, a </w:t>
      </w:r>
      <w:proofErr w:type="spellStart"/>
      <w:r>
        <w:t>hóközi</w:t>
      </w:r>
      <w:proofErr w:type="spellEnd"/>
      <w:r>
        <w:t xml:space="preserve"> kinevezéseket, megszűnéseket, valamint azt a tényt, hogy az előző havi keretösszeg határidőben felhasználásra, elszámolásra került-e).</w:t>
      </w:r>
    </w:p>
    <w:p w:rsidR="00B323F8" w:rsidRDefault="00B323F8" w:rsidP="00B323F8">
      <w:pPr>
        <w:pStyle w:val="NormlWeb"/>
        <w:numPr>
          <w:ilvl w:val="1"/>
          <w:numId w:val="12"/>
        </w:numPr>
        <w:jc w:val="both"/>
      </w:pPr>
      <w:r>
        <w:t xml:space="preserve">A </w:t>
      </w:r>
      <w:proofErr w:type="spellStart"/>
      <w:r>
        <w:t>bv</w:t>
      </w:r>
      <w:proofErr w:type="spellEnd"/>
      <w:r>
        <w:t>. intézet pénzügyi feladatait ellátó szervezeti egység minden hónap 2-ig köteles a BVOP Illetmény-számfejtési Osztályára megküldeni a reprezentációs keretösszegre jogosult vezetőkről szóló listát (név, adószám, összeg, jogosult időszak) amely kimutatás alapján az arra jogosult vezetők részére havonta számfejtésre kerül a reprezentációs keretösszeg. Ezen szervezeti egység biztosítja, a reprezentációs kiadások kapcsán a keletkező bizonylatok befogadását, ennek keretében a jogosultság fennállásának és a számlán szereplő tételek megfelelőségének dokumentált ellenőrzését.</w:t>
      </w:r>
    </w:p>
    <w:p w:rsidR="00200B55" w:rsidRPr="00200B55" w:rsidRDefault="00200B55" w:rsidP="00200B5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B55">
        <w:rPr>
          <w:rFonts w:ascii="Times New Roman" w:eastAsia="Times New Roman" w:hAnsi="Times New Roman" w:cs="Times New Roman"/>
          <w:i/>
          <w:iCs/>
          <w:sz w:val="20"/>
          <w:szCs w:val="20"/>
        </w:rPr>
        <w:t>Módosította: 28/2016 OP szakutasítás, 2016.07.15.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>14. Rendezvények esetében:</w:t>
      </w:r>
    </w:p>
    <w:p w:rsidR="00B323F8" w:rsidRDefault="00B323F8" w:rsidP="00B323F8">
      <w:pPr>
        <w:pStyle w:val="NormlWeb"/>
        <w:numPr>
          <w:ilvl w:val="1"/>
          <w:numId w:val="13"/>
        </w:numPr>
        <w:jc w:val="both"/>
      </w:pPr>
      <w:r>
        <w:t xml:space="preserve">a kezdeményező a 4. melléklet szerinti nyomtatványon kijelöli a lebonyolító szervezeti egységet, ha azt nem maga bonyolítja le; </w:t>
      </w:r>
    </w:p>
    <w:p w:rsidR="00B323F8" w:rsidRDefault="001279D3" w:rsidP="00C13B7B">
      <w:pPr>
        <w:pStyle w:val="NormlWeb"/>
        <w:numPr>
          <w:ilvl w:val="1"/>
          <w:numId w:val="13"/>
        </w:numPr>
        <w:shd w:val="clear" w:color="auto" w:fill="D9D9D9" w:themeFill="background1" w:themeFillShade="D9"/>
        <w:jc w:val="both"/>
      </w:pPr>
      <w:r w:rsidRPr="001279D3">
        <w:t xml:space="preserve">a </w:t>
      </w:r>
      <w:proofErr w:type="spellStart"/>
      <w:r w:rsidRPr="001279D3">
        <w:t>BVOP-n</w:t>
      </w:r>
      <w:proofErr w:type="spellEnd"/>
      <w:r w:rsidRPr="001279D3">
        <w:t xml:space="preserve"> az ünnepség, rendezvény lebonyolításához a résztvevők szükséges létszámát, ellátását és azok költségeit éves rendezvénytervben kell meghatározni. Minden rendezvény, ünnepség előtt aktuális programot és ellátási tervet kell készíteni. A költségelőirányzatokat a 2. melléklet alapján </w:t>
      </w:r>
      <w:r w:rsidRPr="001279D3">
        <w:lastRenderedPageBreak/>
        <w:t>kell megtervezni. A jóváhagyott tervtől csak indokolt esetben, a gazdasági és informatikai helyettes írásbeli engedélye alapján lehel eltérni</w:t>
      </w:r>
      <w:r w:rsidR="00B323F8">
        <w:t>;</w:t>
      </w:r>
    </w:p>
    <w:p w:rsidR="00B323F8" w:rsidRDefault="00B323F8" w:rsidP="00B323F8">
      <w:pPr>
        <w:pStyle w:val="NormlWeb"/>
        <w:numPr>
          <w:ilvl w:val="1"/>
          <w:numId w:val="13"/>
        </w:numPr>
        <w:jc w:val="both"/>
      </w:pPr>
      <w:r>
        <w:t>a BVOP ünnepségeihez, rendezvényeihez a fedezetet a Koordinációs Főosztály erre a célra jóváhagyott éves kerete biztosítja;</w:t>
      </w:r>
    </w:p>
    <w:p w:rsidR="00B323F8" w:rsidRDefault="00B323F8" w:rsidP="00B323F8">
      <w:pPr>
        <w:pStyle w:val="NormlWeb"/>
        <w:numPr>
          <w:ilvl w:val="1"/>
          <w:numId w:val="13"/>
        </w:numPr>
        <w:jc w:val="both"/>
      </w:pPr>
      <w:r>
        <w:t>az a) pont alapján kijelölt szervezeti egység vezetője kitölti a 3. melléklet szerinti igénybejelentő lapot, és azt a kijelölésről szóló nyomtatvánnyal együtt pénzügyi ellenjegyzés céljából legkésőbb a rendezvény tervezett időpontja előtt öt munkanappal megküldi a kifizetést teljesítő szervezeti egység részére;</w:t>
      </w:r>
    </w:p>
    <w:p w:rsidR="00B323F8" w:rsidRDefault="00B323F8" w:rsidP="00B323F8">
      <w:pPr>
        <w:pStyle w:val="NormlWeb"/>
        <w:numPr>
          <w:ilvl w:val="1"/>
          <w:numId w:val="13"/>
        </w:numPr>
        <w:jc w:val="both"/>
      </w:pPr>
      <w:r>
        <w:t>a lebonyolító a kifizetés teljesítése érdekében a kifizetést teljesítő szervezeti egység részére benyújtja az 5. melléklet szerinti elszámoló lapot, valamint az elszámolás alapjául szolgáló számlákat, továbbá a rendezvényen ténylegesen résztvevők névsoráról készült jelenléti ívet vagy regisztrációt;</w:t>
      </w:r>
    </w:p>
    <w:p w:rsidR="00B323F8" w:rsidRDefault="00B323F8" w:rsidP="00B323F8">
      <w:pPr>
        <w:pStyle w:val="NormlWeb"/>
        <w:numPr>
          <w:ilvl w:val="1"/>
          <w:numId w:val="13"/>
        </w:numPr>
        <w:jc w:val="both"/>
      </w:pPr>
      <w:r>
        <w:t xml:space="preserve">a teljesítés igazolására - az elszámoló lap záradékának kitöltésével - a rendezvényt lebonyolító szervezeti egység vezetője jogosult azzal, hogy amennyiben az elszámolás bármilyen okból nem teljes vagy nem megfelelő, úgy - a hiánypótlás 15 napon belüli elmaradása esetén - a rendezvény költségei a kezdeményező adott évi vezetői reprezentációs keretösszegét terhelik; </w:t>
      </w:r>
    </w:p>
    <w:p w:rsidR="00B323F8" w:rsidRDefault="00B323F8" w:rsidP="00B323F8">
      <w:pPr>
        <w:pStyle w:val="NormlWeb"/>
        <w:numPr>
          <w:ilvl w:val="1"/>
          <w:numId w:val="13"/>
        </w:numPr>
        <w:jc w:val="both"/>
      </w:pPr>
      <w:r>
        <w:t>amennyiben a kezdeményező személye megegyezik a rendezvény lebonyolítójával, úgy a 3. és 5. mellékletekben szereplő igénybejelentő és elszámoló lapot maga tölti ki. Ebben az esetben az igénybejelentő lapnak a kijelölésről szóló mellékletét mellőzni kell;</w:t>
      </w:r>
    </w:p>
    <w:p w:rsidR="00B323F8" w:rsidRDefault="00B323F8" w:rsidP="00B323F8">
      <w:pPr>
        <w:pStyle w:val="NormlWeb"/>
        <w:numPr>
          <w:ilvl w:val="1"/>
          <w:numId w:val="13"/>
        </w:numPr>
        <w:jc w:val="both"/>
      </w:pPr>
      <w:proofErr w:type="spellStart"/>
      <w:r>
        <w:t>bv</w:t>
      </w:r>
      <w:proofErr w:type="spellEnd"/>
      <w:r>
        <w:t xml:space="preserve">. intézetek ünnepségeihez, rendezvényeihez szükséges előirányzatot a </w:t>
      </w:r>
      <w:proofErr w:type="spellStart"/>
      <w:r>
        <w:t>bv</w:t>
      </w:r>
      <w:proofErr w:type="spellEnd"/>
      <w:r>
        <w:t xml:space="preserve">. intézet elemi költségvetésében kell megtervezni éves rendezvényterv alapján. A rendezvénytervet a </w:t>
      </w:r>
      <w:proofErr w:type="spellStart"/>
      <w:r>
        <w:t>bv</w:t>
      </w:r>
      <w:proofErr w:type="spellEnd"/>
      <w:r>
        <w:t xml:space="preserve">. intézet vezetője által kijelölt szervezeti egység készíti el a gazdasági vezetővel egyeztetve, melyet a </w:t>
      </w:r>
      <w:proofErr w:type="spellStart"/>
      <w:r>
        <w:t>bv</w:t>
      </w:r>
      <w:proofErr w:type="spellEnd"/>
      <w:r>
        <w:t xml:space="preserve">. intézet vezetője hagy jóvá. Az aktuális programot és ellátási tervet a gazdasági vezető ellenjegyzése után a </w:t>
      </w:r>
      <w:proofErr w:type="spellStart"/>
      <w:r>
        <w:t>bv</w:t>
      </w:r>
      <w:proofErr w:type="spellEnd"/>
      <w:r>
        <w:t xml:space="preserve">. intézet vezetője engedélyezi. A jóváhagyott tervtől a </w:t>
      </w:r>
      <w:proofErr w:type="spellStart"/>
      <w:r>
        <w:t>bv</w:t>
      </w:r>
      <w:proofErr w:type="spellEnd"/>
      <w:r>
        <w:t>. intézet vezetőjének írásbeli engedélye alapján csak indokolt esetben lehet eltérni.</w:t>
      </w:r>
    </w:p>
    <w:p w:rsidR="00200B55" w:rsidRPr="00200B55" w:rsidRDefault="00200B55" w:rsidP="00200B5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B55">
        <w:rPr>
          <w:rFonts w:ascii="Times New Roman" w:eastAsia="Times New Roman" w:hAnsi="Times New Roman" w:cs="Times New Roman"/>
          <w:i/>
          <w:iCs/>
          <w:sz w:val="20"/>
          <w:szCs w:val="20"/>
        </w:rPr>
        <w:t>Módosította: 28/2016 OP szakutasítás, 2016.07.15.</w:t>
      </w:r>
    </w:p>
    <w:p w:rsidR="00B323F8" w:rsidRDefault="00B323F8" w:rsidP="00C13B7B">
      <w:pPr>
        <w:pStyle w:val="NormlWeb"/>
        <w:shd w:val="clear" w:color="auto" w:fill="D9D9D9" w:themeFill="background1" w:themeFillShade="D9"/>
        <w:spacing w:after="284" w:afterAutospacing="0"/>
        <w:ind w:left="567" w:hanging="284"/>
        <w:jc w:val="both"/>
      </w:pPr>
      <w:r>
        <w:t>15. </w:t>
      </w:r>
      <w:r w:rsidR="001279D3" w:rsidRPr="001279D3">
        <w:t>Az ünnepségekhez, kiemelt rendezvényekhez kapcsolódó fogadási és vendéglátási élelmezési költségnorma felhasználásának elszámolása - a számviteli és az általános forgalmi adóról szóló törvények előírásai alapján kiállított - számla ellenében történik</w:t>
      </w:r>
      <w:r>
        <w:t>.</w:t>
      </w:r>
    </w:p>
    <w:p w:rsidR="001279D3" w:rsidRPr="00200B55" w:rsidRDefault="001279D3" w:rsidP="001279D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B55">
        <w:rPr>
          <w:rFonts w:ascii="Times New Roman" w:eastAsia="Times New Roman" w:hAnsi="Times New Roman" w:cs="Times New Roman"/>
          <w:i/>
          <w:iCs/>
          <w:sz w:val="20"/>
          <w:szCs w:val="20"/>
        </w:rPr>
        <w:t>Módosította: 28/2016 OP szakutasítás, 2016.07.15.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>16. A 3. pontban meghatározott vezetői reprezentáció keretében különösen a 6. mellékletben felsoroltak számolhatóak el.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>17. A 9. pontban meghatározott ajándékként különösen a 7. mellékletben felsoroltak számolhatóak el.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 xml:space="preserve">18. Az elszámolások során a mindenkor hatályos adójogszabályoknak megfelelően kell eljárni. Az 1. és 2. mellékletben meghatározott összegek </w:t>
      </w:r>
      <w:proofErr w:type="spellStart"/>
      <w:r>
        <w:t>ÁFA-val</w:t>
      </w:r>
      <w:proofErr w:type="spellEnd"/>
      <w:r>
        <w:t xml:space="preserve"> együtt értendők.</w:t>
      </w:r>
    </w:p>
    <w:p w:rsidR="00B323F8" w:rsidRDefault="00B323F8" w:rsidP="00B323F8">
      <w:pPr>
        <w:pStyle w:val="NormlWeb"/>
        <w:spacing w:after="284" w:afterAutospacing="0"/>
        <w:jc w:val="center"/>
      </w:pPr>
      <w:r>
        <w:rPr>
          <w:b/>
          <w:bCs/>
        </w:rPr>
        <w:t>III. FEJEZET</w:t>
      </w:r>
    </w:p>
    <w:p w:rsidR="00B323F8" w:rsidRDefault="00B323F8" w:rsidP="00B323F8">
      <w:pPr>
        <w:pStyle w:val="NormlWeb"/>
        <w:spacing w:after="284" w:afterAutospacing="0"/>
        <w:jc w:val="center"/>
      </w:pPr>
      <w:r>
        <w:rPr>
          <w:b/>
          <w:bCs/>
        </w:rPr>
        <w:t>ZÁRÓ RENDELKEZÉSEK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lastRenderedPageBreak/>
        <w:t>19. A szakutasítás 2015. január 1-jén lép hatályba.</w:t>
      </w:r>
    </w:p>
    <w:p w:rsidR="00B323F8" w:rsidRDefault="00B323F8" w:rsidP="00B323F8">
      <w:pPr>
        <w:pStyle w:val="NormlWeb"/>
        <w:spacing w:after="284" w:afterAutospacing="0"/>
        <w:ind w:left="567" w:hanging="284"/>
        <w:jc w:val="both"/>
      </w:pPr>
      <w:r>
        <w:t>20. Hatályát veszti a belföldi reprezentáció rendjének szabályozásáról szóló 27/2014. (VIII.29.) OP szakutasítás.</w:t>
      </w:r>
    </w:p>
    <w:p w:rsidR="00B323F8" w:rsidRDefault="00B323F8" w:rsidP="00B323F8">
      <w:pPr>
        <w:pStyle w:val="NormlWeb"/>
        <w:spacing w:after="284" w:afterAutospacing="0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B323F8" w:rsidRDefault="00B323F8" w:rsidP="00B323F8">
      <w:pPr>
        <w:pStyle w:val="NormlWeb"/>
        <w:spacing w:before="0" w:beforeAutospacing="0" w:after="0" w:afterAutospacing="0"/>
      </w:pPr>
      <w:r>
        <w:t>Mellékletek:</w:t>
      </w:r>
    </w:p>
    <w:p w:rsidR="00B323F8" w:rsidRDefault="00B323F8" w:rsidP="00B323F8">
      <w:pPr>
        <w:pStyle w:val="NormlWeb"/>
        <w:shd w:val="clear" w:color="auto" w:fill="E6E6E6"/>
        <w:tabs>
          <w:tab w:val="left" w:pos="2552"/>
        </w:tabs>
        <w:spacing w:before="0" w:beforeAutospacing="0" w:after="0" w:afterAutospacing="0"/>
        <w:ind w:left="567" w:hanging="283"/>
      </w:pPr>
      <w:r>
        <w:t>1. számú melléklet:   </w:t>
      </w:r>
      <w:r>
        <w:tab/>
      </w:r>
      <w:hyperlink r:id="rId7" w:history="1">
        <w:r w:rsidRPr="00D57E30">
          <w:rPr>
            <w:rStyle w:val="Hiperhivatkozs"/>
          </w:rPr>
          <w:t>A vezetői reprezentáció felhasználására jogosultak köre, és a keretek összegei</w:t>
        </w:r>
      </w:hyperlink>
    </w:p>
    <w:p w:rsidR="00DF3F6A" w:rsidRDefault="00DF3F6A" w:rsidP="00DF3F6A">
      <w:pPr>
        <w:pStyle w:val="NormlWeb"/>
        <w:tabs>
          <w:tab w:val="left" w:pos="2552"/>
        </w:tabs>
        <w:spacing w:before="0" w:beforeAutospacing="0" w:after="0" w:afterAutospacing="0"/>
        <w:ind w:left="1440"/>
        <w:jc w:val="right"/>
      </w:pPr>
      <w:r>
        <w:rPr>
          <w:i/>
          <w:iCs/>
          <w:sz w:val="20"/>
          <w:szCs w:val="20"/>
        </w:rPr>
        <w:t>Módosította: 54/2015 OP szakutasítás, 2015.07.28.</w:t>
      </w:r>
    </w:p>
    <w:p w:rsidR="00B323F8" w:rsidRDefault="00B323F8" w:rsidP="00B323F8">
      <w:pPr>
        <w:pStyle w:val="NormlWeb"/>
        <w:shd w:val="clear" w:color="auto" w:fill="E6E6E6"/>
        <w:tabs>
          <w:tab w:val="left" w:pos="2552"/>
        </w:tabs>
        <w:spacing w:before="0" w:beforeAutospacing="0" w:after="0" w:afterAutospacing="0"/>
        <w:ind w:left="567" w:hanging="283"/>
      </w:pPr>
      <w:r>
        <w:t>2. számú melléklet:   </w:t>
      </w:r>
      <w:r>
        <w:tab/>
      </w:r>
      <w:hyperlink r:id="rId8" w:history="1">
        <w:r w:rsidRPr="00684231">
          <w:rPr>
            <w:rStyle w:val="Hiperhivatkozs"/>
          </w:rPr>
          <w:t>Az ünnepségekhez, kiemelt rendezvényekhez kapcsolódó fogadási és vendéglátási normák (BVOP költségvetésből megtartandó fogadás)</w:t>
        </w:r>
      </w:hyperlink>
    </w:p>
    <w:p w:rsidR="00B323F8" w:rsidRDefault="00B323F8" w:rsidP="00DF3F6A">
      <w:pPr>
        <w:pStyle w:val="NormlWeb"/>
        <w:shd w:val="clear" w:color="auto" w:fill="D9D9D9" w:themeFill="background1" w:themeFillShade="D9"/>
        <w:tabs>
          <w:tab w:val="num" w:pos="1560"/>
          <w:tab w:val="left" w:pos="2552"/>
        </w:tabs>
        <w:spacing w:before="0" w:beforeAutospacing="0" w:after="0" w:afterAutospacing="0"/>
        <w:ind w:left="567" w:hanging="284"/>
        <w:rPr>
          <w:rStyle w:val="Hiperhivatkozs"/>
        </w:rPr>
      </w:pPr>
      <w:r>
        <w:t>3. számú melléklet:   </w:t>
      </w:r>
      <w:r>
        <w:tab/>
      </w:r>
      <w:hyperlink r:id="rId9" w:history="1">
        <w:r w:rsidRPr="00684231">
          <w:rPr>
            <w:rStyle w:val="Hiperhivatkozs"/>
          </w:rPr>
          <w:t>Az ünnepségek, rendezvények, fogadások vendéglátások költségelőirányzata</w:t>
        </w:r>
      </w:hyperlink>
    </w:p>
    <w:p w:rsidR="00DF3F6A" w:rsidRPr="00200B55" w:rsidRDefault="00DF3F6A" w:rsidP="00DF3F6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B55">
        <w:rPr>
          <w:rFonts w:ascii="Times New Roman" w:eastAsia="Times New Roman" w:hAnsi="Times New Roman" w:cs="Times New Roman"/>
          <w:i/>
          <w:iCs/>
          <w:sz w:val="20"/>
          <w:szCs w:val="20"/>
        </w:rPr>
        <w:t>Módosította: 28/2016 OP szakutasítás, 2016.07.15.</w:t>
      </w:r>
    </w:p>
    <w:p w:rsidR="00B323F8" w:rsidRDefault="00B323F8" w:rsidP="00B323F8">
      <w:pPr>
        <w:pStyle w:val="NormlWeb"/>
        <w:tabs>
          <w:tab w:val="num" w:pos="1560"/>
          <w:tab w:val="left" w:pos="2552"/>
        </w:tabs>
        <w:spacing w:before="0" w:beforeAutospacing="0" w:after="0" w:afterAutospacing="0"/>
        <w:ind w:left="567" w:hanging="284"/>
      </w:pPr>
      <w:r>
        <w:t>4. számú melléklet:   </w:t>
      </w:r>
      <w:r>
        <w:tab/>
      </w:r>
      <w:hyperlink r:id="rId10" w:history="1">
        <w:r w:rsidRPr="00D57E30">
          <w:rPr>
            <w:rStyle w:val="Hiperhivatkozs"/>
          </w:rPr>
          <w:t>Kijelölés</w:t>
        </w:r>
      </w:hyperlink>
    </w:p>
    <w:p w:rsidR="00B323F8" w:rsidRDefault="00B323F8" w:rsidP="00B323F8">
      <w:pPr>
        <w:pStyle w:val="NormlWeb"/>
        <w:tabs>
          <w:tab w:val="num" w:pos="1560"/>
          <w:tab w:val="left" w:pos="2552"/>
        </w:tabs>
        <w:spacing w:before="0" w:beforeAutospacing="0" w:after="0" w:afterAutospacing="0"/>
        <w:ind w:left="567" w:hanging="284"/>
      </w:pPr>
      <w:r>
        <w:t>5. számú melléklet:   </w:t>
      </w:r>
      <w:r>
        <w:tab/>
      </w:r>
      <w:hyperlink r:id="rId11" w:history="1">
        <w:r w:rsidRPr="00D57E30">
          <w:rPr>
            <w:rStyle w:val="Hiperhivatkozs"/>
          </w:rPr>
          <w:t>Rendezvények költségeinek elszámolása</w:t>
        </w:r>
      </w:hyperlink>
    </w:p>
    <w:p w:rsidR="00B323F8" w:rsidRDefault="00B323F8" w:rsidP="00B323F8">
      <w:pPr>
        <w:pStyle w:val="NormlWeb"/>
        <w:tabs>
          <w:tab w:val="num" w:pos="1560"/>
          <w:tab w:val="left" w:pos="2552"/>
        </w:tabs>
        <w:spacing w:before="0" w:beforeAutospacing="0" w:after="0" w:afterAutospacing="0"/>
        <w:ind w:left="567" w:hanging="284"/>
      </w:pPr>
      <w:r>
        <w:t>6. számú melléklet:   </w:t>
      </w:r>
      <w:r>
        <w:tab/>
      </w:r>
      <w:hyperlink r:id="rId12" w:history="1">
        <w:r w:rsidRPr="00D57E30">
          <w:rPr>
            <w:rStyle w:val="Hiperhivatkozs"/>
          </w:rPr>
          <w:t>Vezetői reprezentáció keretében elszámolható különösen</w:t>
        </w:r>
      </w:hyperlink>
    </w:p>
    <w:p w:rsidR="00B323F8" w:rsidRDefault="00B323F8" w:rsidP="00B323F8">
      <w:pPr>
        <w:pStyle w:val="NormlWeb"/>
        <w:tabs>
          <w:tab w:val="num" w:pos="1560"/>
          <w:tab w:val="left" w:pos="2552"/>
        </w:tabs>
        <w:spacing w:before="0" w:beforeAutospacing="0" w:after="0" w:afterAutospacing="0"/>
        <w:ind w:left="567" w:hanging="284"/>
      </w:pPr>
      <w:r>
        <w:t>7. számú melléklet:   </w:t>
      </w:r>
      <w:r>
        <w:tab/>
      </w:r>
      <w:hyperlink r:id="rId13" w:history="1">
        <w:r w:rsidRPr="00D57E30">
          <w:rPr>
            <w:rStyle w:val="Hiperhivatkozs"/>
          </w:rPr>
          <w:t>Ajándékként elszámolható különösen</w:t>
        </w:r>
      </w:hyperlink>
    </w:p>
    <w:p w:rsidR="00B323F8" w:rsidRDefault="00B323F8" w:rsidP="00B323F8">
      <w:pPr>
        <w:pStyle w:val="NormlWeb"/>
        <w:tabs>
          <w:tab w:val="num" w:pos="1560"/>
          <w:tab w:val="left" w:pos="2552"/>
        </w:tabs>
        <w:spacing w:before="0" w:beforeAutospacing="0" w:after="0" w:afterAutospacing="0"/>
        <w:ind w:left="567" w:hanging="284"/>
        <w:rPr>
          <w:rStyle w:val="Hiperhivatkozs"/>
        </w:rPr>
      </w:pPr>
      <w:r>
        <w:t>8. számú melléklet:   </w:t>
      </w:r>
      <w:r>
        <w:tab/>
      </w:r>
      <w:hyperlink r:id="rId14" w:history="1">
        <w:r w:rsidRPr="00D57E30">
          <w:rPr>
            <w:rStyle w:val="Hiperhivatkozs"/>
          </w:rPr>
          <w:t>Nyilatkozat reprezentációs keretösszeg illetményből (munkabérből) történő levonásához</w:t>
        </w:r>
      </w:hyperlink>
    </w:p>
    <w:p w:rsidR="00DF3F6A" w:rsidRPr="00DF3F6A" w:rsidRDefault="00DF3F6A" w:rsidP="00DF3F6A">
      <w:pPr>
        <w:pStyle w:val="NormlWeb"/>
        <w:shd w:val="clear" w:color="auto" w:fill="D9D9D9" w:themeFill="background1" w:themeFillShade="D9"/>
        <w:tabs>
          <w:tab w:val="num" w:pos="1560"/>
          <w:tab w:val="left" w:pos="2552"/>
        </w:tabs>
        <w:spacing w:before="0" w:beforeAutospacing="0" w:after="0" w:afterAutospacing="0"/>
        <w:ind w:left="567" w:hanging="284"/>
      </w:pPr>
      <w:r w:rsidRPr="00DF3F6A">
        <w:rPr>
          <w:rStyle w:val="Hiperhivatkozs"/>
          <w:color w:val="auto"/>
          <w:u w:val="none"/>
        </w:rPr>
        <w:t xml:space="preserve">9. számú melléket: </w:t>
      </w:r>
      <w:r w:rsidRPr="00DF3F6A">
        <w:rPr>
          <w:rStyle w:val="Hiperhivatkozs"/>
          <w:color w:val="auto"/>
          <w:u w:val="none"/>
        </w:rPr>
        <w:tab/>
      </w:r>
      <w:hyperlink r:id="rId15" w:history="1">
        <w:r w:rsidRPr="00684231">
          <w:rPr>
            <w:rStyle w:val="Hiperhivatkozs"/>
          </w:rPr>
          <w:t>Engedély az éves jóváhagyott munkatervben/rendezvénytervben nem szereplő rendezvény megtartására</w:t>
        </w:r>
      </w:hyperlink>
      <w:bookmarkStart w:id="0" w:name="_GoBack"/>
      <w:bookmarkEnd w:id="0"/>
    </w:p>
    <w:p w:rsidR="00DF3F6A" w:rsidRPr="00200B55" w:rsidRDefault="00DF3F6A" w:rsidP="00DF3F6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3F6A">
        <w:tab/>
      </w:r>
      <w:r w:rsidRPr="00200B55">
        <w:rPr>
          <w:rFonts w:ascii="Times New Roman" w:eastAsia="Times New Roman" w:hAnsi="Times New Roman" w:cs="Times New Roman"/>
          <w:i/>
          <w:iCs/>
          <w:sz w:val="20"/>
          <w:szCs w:val="20"/>
        </w:rPr>
        <w:t>Módosította: 28/2016 OP szakutasítás, 2016.07.15.</w:t>
      </w:r>
    </w:p>
    <w:p w:rsidR="00DF3F6A" w:rsidRPr="00B323F8" w:rsidRDefault="00DF3F6A" w:rsidP="00B323F8"/>
    <w:sectPr w:rsidR="00DF3F6A" w:rsidRPr="00B323F8" w:rsidSect="00DF3F6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686"/>
    <w:multiLevelType w:val="multilevel"/>
    <w:tmpl w:val="9AE0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B2D00"/>
    <w:multiLevelType w:val="multilevel"/>
    <w:tmpl w:val="4BFE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2EB5"/>
    <w:multiLevelType w:val="hybridMultilevel"/>
    <w:tmpl w:val="1CF2E2FA"/>
    <w:lvl w:ilvl="0" w:tplc="902666E0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0D4DD3"/>
    <w:multiLevelType w:val="multilevel"/>
    <w:tmpl w:val="CB7E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72627"/>
    <w:multiLevelType w:val="multilevel"/>
    <w:tmpl w:val="A544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45C42"/>
    <w:multiLevelType w:val="multilevel"/>
    <w:tmpl w:val="4BB6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B19CF"/>
    <w:multiLevelType w:val="multilevel"/>
    <w:tmpl w:val="916A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67CA6"/>
    <w:multiLevelType w:val="multilevel"/>
    <w:tmpl w:val="9DDA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05B1A"/>
    <w:multiLevelType w:val="multilevel"/>
    <w:tmpl w:val="604A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D0951"/>
    <w:multiLevelType w:val="multilevel"/>
    <w:tmpl w:val="2F1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42F2A"/>
    <w:multiLevelType w:val="multilevel"/>
    <w:tmpl w:val="13A0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66085"/>
    <w:multiLevelType w:val="multilevel"/>
    <w:tmpl w:val="1EE8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C267D"/>
    <w:multiLevelType w:val="multilevel"/>
    <w:tmpl w:val="818E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C5CBE"/>
    <w:multiLevelType w:val="multilevel"/>
    <w:tmpl w:val="67D4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B48E9"/>
    <w:multiLevelType w:val="multilevel"/>
    <w:tmpl w:val="98D6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1A"/>
    <w:rsid w:val="00000278"/>
    <w:rsid w:val="0000251A"/>
    <w:rsid w:val="00091747"/>
    <w:rsid w:val="000C4548"/>
    <w:rsid w:val="001279D3"/>
    <w:rsid w:val="00151DC4"/>
    <w:rsid w:val="00166D5B"/>
    <w:rsid w:val="00170534"/>
    <w:rsid w:val="0017206C"/>
    <w:rsid w:val="00193C54"/>
    <w:rsid w:val="00194D85"/>
    <w:rsid w:val="001A35F9"/>
    <w:rsid w:val="00200B55"/>
    <w:rsid w:val="00253513"/>
    <w:rsid w:val="002A1D3D"/>
    <w:rsid w:val="002D5DE1"/>
    <w:rsid w:val="002F29F7"/>
    <w:rsid w:val="00323B66"/>
    <w:rsid w:val="00354C21"/>
    <w:rsid w:val="00365FFF"/>
    <w:rsid w:val="00367603"/>
    <w:rsid w:val="003C77DD"/>
    <w:rsid w:val="00443104"/>
    <w:rsid w:val="004555C7"/>
    <w:rsid w:val="0047259B"/>
    <w:rsid w:val="004915EA"/>
    <w:rsid w:val="004F2030"/>
    <w:rsid w:val="005053C3"/>
    <w:rsid w:val="00526DF2"/>
    <w:rsid w:val="005D49B2"/>
    <w:rsid w:val="005E3E63"/>
    <w:rsid w:val="00654CAB"/>
    <w:rsid w:val="00671737"/>
    <w:rsid w:val="0067365F"/>
    <w:rsid w:val="00675343"/>
    <w:rsid w:val="00684231"/>
    <w:rsid w:val="00686D56"/>
    <w:rsid w:val="0069608B"/>
    <w:rsid w:val="006A7058"/>
    <w:rsid w:val="006F6B63"/>
    <w:rsid w:val="007167D1"/>
    <w:rsid w:val="00733C8F"/>
    <w:rsid w:val="007424EB"/>
    <w:rsid w:val="00770404"/>
    <w:rsid w:val="007B7A1E"/>
    <w:rsid w:val="007C2B26"/>
    <w:rsid w:val="007C71FF"/>
    <w:rsid w:val="007F6A17"/>
    <w:rsid w:val="00825D15"/>
    <w:rsid w:val="008277D4"/>
    <w:rsid w:val="00852FD3"/>
    <w:rsid w:val="008637D9"/>
    <w:rsid w:val="008838EB"/>
    <w:rsid w:val="008F5EC9"/>
    <w:rsid w:val="00931BFE"/>
    <w:rsid w:val="00935A8F"/>
    <w:rsid w:val="00945540"/>
    <w:rsid w:val="00946100"/>
    <w:rsid w:val="00956AAD"/>
    <w:rsid w:val="00981E65"/>
    <w:rsid w:val="009B5230"/>
    <w:rsid w:val="00A5521F"/>
    <w:rsid w:val="00AB1A53"/>
    <w:rsid w:val="00B148B0"/>
    <w:rsid w:val="00B323F8"/>
    <w:rsid w:val="00B37305"/>
    <w:rsid w:val="00BB4FC3"/>
    <w:rsid w:val="00BB7EB8"/>
    <w:rsid w:val="00BD6AEF"/>
    <w:rsid w:val="00C13B7B"/>
    <w:rsid w:val="00C24340"/>
    <w:rsid w:val="00C447CD"/>
    <w:rsid w:val="00C77ACC"/>
    <w:rsid w:val="00CF5761"/>
    <w:rsid w:val="00D24E52"/>
    <w:rsid w:val="00D25C5F"/>
    <w:rsid w:val="00D462EC"/>
    <w:rsid w:val="00D5372C"/>
    <w:rsid w:val="00D57E30"/>
    <w:rsid w:val="00D95417"/>
    <w:rsid w:val="00DA67D2"/>
    <w:rsid w:val="00DC4B23"/>
    <w:rsid w:val="00DC778D"/>
    <w:rsid w:val="00DF3F6A"/>
    <w:rsid w:val="00E17B1A"/>
    <w:rsid w:val="00E352B5"/>
    <w:rsid w:val="00E3550C"/>
    <w:rsid w:val="00E369B4"/>
    <w:rsid w:val="00EB6682"/>
    <w:rsid w:val="00EE3043"/>
    <w:rsid w:val="00F249C8"/>
    <w:rsid w:val="00F25E40"/>
    <w:rsid w:val="00F57409"/>
    <w:rsid w:val="00F90E13"/>
    <w:rsid w:val="00F93E4F"/>
    <w:rsid w:val="00F966F8"/>
    <w:rsid w:val="00FB0C8A"/>
    <w:rsid w:val="00FE2161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00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0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f/bf/71000/2014_51szu-m02.docx" TargetMode="External"/><Relationship Id="rId13" Type="http://schemas.openxmlformats.org/officeDocument/2006/relationships/hyperlink" Target="http://bv.gov.hu/download/5/be/11000/2014_51szu-m7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bv.gov.hu/download/7/be/11000/2015_54szu-m01.docx" TargetMode="External"/><Relationship Id="rId12" Type="http://schemas.openxmlformats.org/officeDocument/2006/relationships/hyperlink" Target="http://bv.gov.hu/download/4/be/11000/2014_51szu-m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v.gov.hu/download/3/be/11000/2014_51szu-m5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v.gov.hu/admin/download/1/cf/71000/2014_51szu-m09.docx" TargetMode="External"/><Relationship Id="rId10" Type="http://schemas.openxmlformats.org/officeDocument/2006/relationships/hyperlink" Target="http://bv.gov.hu/download/2/be/11000/2014_51szu-m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v.gov.hu/admin/download/0/cf/71000/2014_51szu-m03.docx" TargetMode="External"/><Relationship Id="rId14" Type="http://schemas.openxmlformats.org/officeDocument/2006/relationships/hyperlink" Target="http://bv.gov.hu/download/6/be/11000/2014_51szu-m8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3772C-E327-4DD8-B123-7E73F410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3E46DA2E</Template>
  <TotalTime>19</TotalTime>
  <Pages>6</Pages>
  <Words>1876</Words>
  <Characters>12952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5</cp:revision>
  <dcterms:created xsi:type="dcterms:W3CDTF">2016-07-29T09:25:00Z</dcterms:created>
  <dcterms:modified xsi:type="dcterms:W3CDTF">2016-07-29T09:48:00Z</dcterms:modified>
</cp:coreProperties>
</file>