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70" w:rsidRPr="00856808" w:rsidRDefault="00A50770" w:rsidP="00A50770">
      <w:pPr>
        <w:pStyle w:val="NormlWeb"/>
        <w:spacing w:after="284"/>
        <w:jc w:val="center"/>
      </w:pPr>
      <w:r w:rsidRPr="00856808">
        <w:rPr>
          <w:b/>
          <w:bCs/>
        </w:rPr>
        <w:t>A büntetés-végrehajtás országos parancsnokának</w:t>
      </w:r>
      <w:r w:rsidRPr="00856808">
        <w:rPr>
          <w:b/>
          <w:bCs/>
        </w:rPr>
        <w:br/>
      </w:r>
      <w:r w:rsidR="00035CFE" w:rsidRPr="00856808">
        <w:rPr>
          <w:b/>
          <w:bCs/>
        </w:rPr>
        <w:t>84</w:t>
      </w:r>
      <w:r w:rsidRPr="00856808">
        <w:rPr>
          <w:b/>
          <w:bCs/>
        </w:rPr>
        <w:t>/2015. (</w:t>
      </w:r>
      <w:r w:rsidR="00B734D8" w:rsidRPr="00856808">
        <w:rPr>
          <w:b/>
          <w:bCs/>
        </w:rPr>
        <w:t>XII. 1</w:t>
      </w:r>
      <w:r w:rsidR="00035CFE" w:rsidRPr="00856808">
        <w:rPr>
          <w:b/>
          <w:bCs/>
        </w:rPr>
        <w:t>.</w:t>
      </w:r>
      <w:r w:rsidRPr="00856808">
        <w:rPr>
          <w:b/>
          <w:bCs/>
        </w:rPr>
        <w:t>) OP</w:t>
      </w:r>
    </w:p>
    <w:p w:rsidR="00A50770" w:rsidRPr="00856808" w:rsidRDefault="00A50770" w:rsidP="00A50770">
      <w:pPr>
        <w:pStyle w:val="NormlWeb"/>
        <w:spacing w:after="284"/>
        <w:jc w:val="center"/>
      </w:pPr>
      <w:r w:rsidRPr="00856808">
        <w:rPr>
          <w:b/>
          <w:bCs/>
          <w:i/>
          <w:iCs/>
        </w:rPr>
        <w:t xml:space="preserve">s z a k u t a s í t á s </w:t>
      </w:r>
      <w:proofErr w:type="gramStart"/>
      <w:r w:rsidRPr="00856808">
        <w:rPr>
          <w:b/>
          <w:bCs/>
          <w:i/>
          <w:iCs/>
        </w:rPr>
        <w:t>a</w:t>
      </w:r>
      <w:proofErr w:type="gramEnd"/>
    </w:p>
    <w:p w:rsidR="00425E51" w:rsidRPr="00856808" w:rsidRDefault="00A50770" w:rsidP="00425E51">
      <w:pPr>
        <w:pStyle w:val="NormlWeb"/>
        <w:spacing w:after="284"/>
        <w:jc w:val="center"/>
        <w:rPr>
          <w:b/>
        </w:rPr>
      </w:pPr>
      <w:proofErr w:type="gramStart"/>
      <w:r w:rsidRPr="00856808">
        <w:rPr>
          <w:b/>
          <w:bCs/>
        </w:rPr>
        <w:t>a</w:t>
      </w:r>
      <w:proofErr w:type="gramEnd"/>
      <w:r w:rsidRPr="00856808">
        <w:rPr>
          <w:b/>
          <w:bCs/>
        </w:rPr>
        <w:t xml:space="preserve"> </w:t>
      </w:r>
      <w:r w:rsidR="00425E51" w:rsidRPr="00856808">
        <w:rPr>
          <w:b/>
          <w:bCs/>
          <w:iCs/>
        </w:rPr>
        <w:t>külföldi küldöttségek, vendégek fogadásáról, vendéglátásáról</w:t>
      </w:r>
      <w:r w:rsidR="00425E51" w:rsidRPr="00856808">
        <w:rPr>
          <w:b/>
        </w:rPr>
        <w:t xml:space="preserve"> </w:t>
      </w:r>
    </w:p>
    <w:p w:rsidR="00A50770" w:rsidRPr="00856808" w:rsidRDefault="00A50770" w:rsidP="00425E51">
      <w:pPr>
        <w:pStyle w:val="NormlWeb"/>
        <w:spacing w:after="284"/>
        <w:jc w:val="both"/>
      </w:pPr>
      <w:r w:rsidRPr="00856808">
        <w:t xml:space="preserve">A büntetés-végrehajtási szervezet belső szabályozási tevékenységéről szóló 2/2013. (IX.13.) BVOP utasítás 7. pontja alapján </w:t>
      </w:r>
      <w:r w:rsidR="00425E51" w:rsidRPr="00856808">
        <w:t>külföldi küldöttségek, vendégek fogadásáról, vendéglátásáról az alábbi szakutasítást adom ki</w:t>
      </w:r>
    </w:p>
    <w:p w:rsidR="00A50770" w:rsidRPr="00856808" w:rsidRDefault="00A50770" w:rsidP="00A50770">
      <w:pPr>
        <w:pStyle w:val="NormlWeb"/>
        <w:spacing w:after="284"/>
        <w:jc w:val="center"/>
      </w:pPr>
      <w:r w:rsidRPr="00856808">
        <w:rPr>
          <w:b/>
          <w:bCs/>
        </w:rPr>
        <w:t>I.</w:t>
      </w:r>
      <w:r w:rsidRPr="00856808">
        <w:rPr>
          <w:b/>
          <w:bCs/>
        </w:rPr>
        <w:br/>
      </w:r>
      <w:proofErr w:type="gramStart"/>
      <w:r w:rsidRPr="00856808">
        <w:rPr>
          <w:b/>
          <w:bCs/>
        </w:rPr>
        <w:t>A</w:t>
      </w:r>
      <w:proofErr w:type="gramEnd"/>
      <w:r w:rsidRPr="00856808">
        <w:rPr>
          <w:b/>
          <w:bCs/>
        </w:rPr>
        <w:t xml:space="preserve"> szakutasítás hatálya</w:t>
      </w:r>
    </w:p>
    <w:p w:rsidR="00425E51" w:rsidRPr="00856808" w:rsidRDefault="00425E51" w:rsidP="00F90250">
      <w:pPr>
        <w:pStyle w:val="Listaszerbekezds"/>
        <w:numPr>
          <w:ilvl w:val="0"/>
          <w:numId w:val="20"/>
        </w:numPr>
        <w:spacing w:after="0"/>
        <w:ind w:left="284" w:hanging="284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szakutasítás hatálya kiterjed a Büntetés-végrehajtás Országos Parancsnokságára (a továbbiakban: 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>BVOP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), a büntetés-végrehajtási intézetekre, intézményekre (a továbbiakban: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. intézetek). </w:t>
      </w:r>
    </w:p>
    <w:p w:rsidR="00A50770" w:rsidRPr="00856808" w:rsidRDefault="00A50770" w:rsidP="00F90250">
      <w:pPr>
        <w:pStyle w:val="NormlWeb"/>
        <w:spacing w:before="0" w:beforeAutospacing="0"/>
        <w:ind w:hanging="284"/>
        <w:jc w:val="center"/>
        <w:rPr>
          <w:b/>
          <w:bCs/>
        </w:rPr>
      </w:pPr>
      <w:r w:rsidRPr="00856808">
        <w:rPr>
          <w:b/>
          <w:bCs/>
        </w:rPr>
        <w:t>II.</w:t>
      </w:r>
      <w:r w:rsidRPr="00856808">
        <w:rPr>
          <w:b/>
          <w:bCs/>
        </w:rPr>
        <w:br/>
      </w:r>
      <w:r w:rsidR="00425E51" w:rsidRPr="00856808">
        <w:rPr>
          <w:b/>
          <w:bCs/>
        </w:rPr>
        <w:t>Fogalmi meghatározás</w:t>
      </w:r>
    </w:p>
    <w:p w:rsidR="00F90250" w:rsidRPr="00856808" w:rsidRDefault="00F90250" w:rsidP="00F90250">
      <w:pPr>
        <w:pStyle w:val="NormlWeb"/>
        <w:spacing w:before="0" w:beforeAutospacing="0"/>
        <w:ind w:hanging="284"/>
        <w:jc w:val="center"/>
      </w:pPr>
    </w:p>
    <w:p w:rsidR="00425E51" w:rsidRPr="00856808" w:rsidRDefault="00425E51" w:rsidP="00F90250">
      <w:pPr>
        <w:pStyle w:val="Listaszerbekezds"/>
        <w:numPr>
          <w:ilvl w:val="0"/>
          <w:numId w:val="20"/>
        </w:numPr>
        <w:spacing w:after="0"/>
        <w:ind w:left="284" w:hanging="284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Az szakutasítás alkalmazása során a büntetés-végrehajtás küldöttségének, vendégének (a továbbiakban: vendég) kell tekinteni: </w:t>
      </w:r>
    </w:p>
    <w:p w:rsidR="00425E51" w:rsidRPr="00856808" w:rsidRDefault="00425E51" w:rsidP="00F90250">
      <w:pPr>
        <w:numPr>
          <w:ilvl w:val="1"/>
          <w:numId w:val="21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az előzetes levelezés, a jóváhagyott utazási program vagy esetenkénti (egyszeri) meghívás alapján érkező külföldi vendéget; </w:t>
      </w:r>
    </w:p>
    <w:p w:rsidR="00425E51" w:rsidRPr="00856808" w:rsidRDefault="00425E51" w:rsidP="00F90250">
      <w:pPr>
        <w:numPr>
          <w:ilvl w:val="1"/>
          <w:numId w:val="21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az előzetes egyeztetés nélkül érkező vagy az átutazó, a magyar büntetés-végrehajtással kapcsolatban álló külföldi vendéget; </w:t>
      </w:r>
    </w:p>
    <w:p w:rsidR="00425E51" w:rsidRPr="00856808" w:rsidRDefault="00425E51" w:rsidP="00F90250">
      <w:pPr>
        <w:numPr>
          <w:ilvl w:val="1"/>
          <w:numId w:val="21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>. intézetek által együttműködési megállapodásuk alapján fogadott külföldi vendégeket.</w:t>
      </w:r>
    </w:p>
    <w:p w:rsidR="00A50770" w:rsidRPr="00856808" w:rsidRDefault="00A50770" w:rsidP="00F90250">
      <w:pPr>
        <w:pStyle w:val="NormlWeb"/>
        <w:spacing w:before="0" w:beforeAutospacing="0"/>
        <w:ind w:hanging="284"/>
        <w:jc w:val="both"/>
      </w:pPr>
    </w:p>
    <w:p w:rsidR="00A50770" w:rsidRPr="00856808" w:rsidRDefault="00A50770" w:rsidP="00F90250">
      <w:pPr>
        <w:pStyle w:val="NormlWeb"/>
        <w:spacing w:before="0" w:beforeAutospacing="0"/>
        <w:jc w:val="center"/>
        <w:rPr>
          <w:b/>
          <w:bCs/>
        </w:rPr>
      </w:pPr>
      <w:r w:rsidRPr="00856808">
        <w:rPr>
          <w:b/>
          <w:bCs/>
        </w:rPr>
        <w:t>III.</w:t>
      </w:r>
      <w:r w:rsidRPr="00856808">
        <w:rPr>
          <w:b/>
          <w:bCs/>
        </w:rPr>
        <w:br/>
      </w:r>
      <w:r w:rsidR="006D1B19" w:rsidRPr="00856808">
        <w:rPr>
          <w:b/>
          <w:bCs/>
        </w:rPr>
        <w:t>Fogadások</w:t>
      </w:r>
      <w:r w:rsidRPr="00856808">
        <w:rPr>
          <w:b/>
          <w:bCs/>
        </w:rPr>
        <w:t xml:space="preserve"> rendje</w:t>
      </w:r>
    </w:p>
    <w:p w:rsidR="00F90250" w:rsidRPr="00856808" w:rsidRDefault="00F90250" w:rsidP="00F90250">
      <w:pPr>
        <w:pStyle w:val="NormlWeb"/>
        <w:spacing w:before="0" w:beforeAutospacing="0"/>
        <w:jc w:val="center"/>
      </w:pPr>
    </w:p>
    <w:p w:rsidR="00425E51" w:rsidRPr="00856808" w:rsidRDefault="00425E51" w:rsidP="00241FFE">
      <w:pPr>
        <w:pStyle w:val="Listaszerbekezds"/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Koordinációs Főosztály a </w:t>
      </w:r>
      <w:proofErr w:type="spellStart"/>
      <w:r w:rsidR="005F7929" w:rsidRPr="00856808">
        <w:rPr>
          <w:rFonts w:eastAsia="Times New Roman" w:cs="Times New Roman"/>
          <w:sz w:val="24"/>
          <w:szCs w:val="24"/>
          <w:lang w:eastAsia="hu-HU"/>
        </w:rPr>
        <w:t>BVOP</w:t>
      </w:r>
      <w:r w:rsidRPr="00856808">
        <w:rPr>
          <w:rFonts w:eastAsia="Times New Roman" w:cs="Times New Roman"/>
          <w:sz w:val="24"/>
          <w:szCs w:val="24"/>
          <w:lang w:eastAsia="hu-HU"/>
        </w:rPr>
        <w:t>-n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 a vendégek fogadásához éves fogadási tervet készít, melyet az országos parancsnok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 xml:space="preserve"> vagy az országos parancsnok általános helyettese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hagy jóvá. A terven kívüli vendégek fogadása az országos parancsnok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 xml:space="preserve"> vagy az országos parancsnok általános helyettese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F90250" w:rsidRPr="00856808">
        <w:rPr>
          <w:rFonts w:eastAsia="Times New Roman" w:cs="Times New Roman"/>
          <w:sz w:val="24"/>
          <w:szCs w:val="24"/>
          <w:lang w:eastAsia="hu-HU"/>
        </w:rPr>
        <w:t xml:space="preserve">külön </w:t>
      </w:r>
      <w:r w:rsidRPr="00856808">
        <w:rPr>
          <w:rFonts w:eastAsia="Times New Roman" w:cs="Times New Roman"/>
          <w:sz w:val="24"/>
          <w:szCs w:val="24"/>
          <w:lang w:eastAsia="hu-HU"/>
        </w:rPr>
        <w:t>engedélyével történik.</w:t>
      </w:r>
    </w:p>
    <w:p w:rsidR="006D1B19" w:rsidRPr="00856808" w:rsidRDefault="006D1B19" w:rsidP="00241FFE">
      <w:pPr>
        <w:pStyle w:val="Listaszerbekezds"/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241FFE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>Az engedélyezett külföldi vendégek fogadását úgy kell megszervezni, hogy - különösen indokolt esetek kivételével - munkaszüneti, pihenő-, illetve ünnepnapokat ne vegyen igénybe.</w:t>
      </w:r>
    </w:p>
    <w:p w:rsidR="006D1B19" w:rsidRPr="00856808" w:rsidRDefault="006D1B19" w:rsidP="00241FFE">
      <w:pPr>
        <w:spacing w:after="0"/>
        <w:ind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241FFE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>A külföldi vendégek magyarországi látogatása során tiszteletben kell tartani a küldő ország szokásait, vallási és világnézeti felfogását.</w:t>
      </w:r>
    </w:p>
    <w:p w:rsidR="006D1B19" w:rsidRPr="00856808" w:rsidRDefault="006D1B19" w:rsidP="00241FFE">
      <w:pPr>
        <w:spacing w:after="0"/>
        <w:ind w:hanging="426"/>
        <w:rPr>
          <w:rFonts w:eastAsia="Times New Roman" w:cs="Times New Roman"/>
          <w:sz w:val="24"/>
          <w:szCs w:val="24"/>
          <w:lang w:eastAsia="hu-HU"/>
        </w:rPr>
      </w:pPr>
    </w:p>
    <w:p w:rsidR="006D1B19" w:rsidRPr="00856808" w:rsidRDefault="00425E51" w:rsidP="00241FFE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Az I. kategóriába tartozó vendégek fogadási programját és ellátási tervét a Koordinációs Főosztály készíti elő, melyet ellenőrzés céljából megküld a Közgazdasági Főosztálynak. Azt követően a gazdasági és informatikai helyettes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ellenjegyzi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, majd az országos parancsnok 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 xml:space="preserve">vagy az országos parancsnok általános helyettese 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hagyja jóvá. A II. és III. kategóriába tartozó vendégek fogadási programját a fogadó szervezeti egység vezetője készíti el, ezt a Koordinációs Főosztály vezetője ellenőrzi, majd ennek alapján a </w:t>
      </w:r>
      <w:r w:rsidRPr="00856808">
        <w:rPr>
          <w:rFonts w:eastAsia="Times New Roman" w:cs="Times New Roman"/>
          <w:sz w:val="24"/>
          <w:szCs w:val="24"/>
          <w:lang w:eastAsia="hu-HU"/>
        </w:rPr>
        <w:lastRenderedPageBreak/>
        <w:t xml:space="preserve">rendelkezésére álló költségvetési keret figyelembevételével elkészíti az ellátás pénzügyi tervét. Az engedélyezés ezen esetekben is az I. kategória szabályainak megfelelően történik. A jóváhagyott programot meg kell küldeni a programban és a vendéglátásban résztvevő valamennyi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. intézet parancsnoka, igazgatója (a továbbiakban: parancsnok) részére. A programhoz mellékelni kell - az érintett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. intézetben - a vendéglátás során felhasználható összegek mértékét, mely az </w:t>
      </w:r>
      <w:r w:rsidRPr="00856808">
        <w:rPr>
          <w:rFonts w:eastAsia="Times New Roman" w:cs="Times New Roman"/>
          <w:iCs/>
          <w:sz w:val="24"/>
          <w:szCs w:val="24"/>
          <w:lang w:eastAsia="hu-HU"/>
        </w:rPr>
        <w:t>1</w:t>
      </w:r>
      <w:proofErr w:type="gramStart"/>
      <w:r w:rsidRPr="00856808">
        <w:rPr>
          <w:rFonts w:eastAsia="Times New Roman" w:cs="Times New Roman"/>
          <w:iCs/>
          <w:sz w:val="24"/>
          <w:szCs w:val="24"/>
          <w:lang w:eastAsia="hu-HU"/>
        </w:rPr>
        <w:t>.  melléklet</w:t>
      </w:r>
      <w:proofErr w:type="gram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 alapján készül el. </w:t>
      </w:r>
    </w:p>
    <w:p w:rsidR="006D1B19" w:rsidRPr="00856808" w:rsidRDefault="006D1B19" w:rsidP="00241FFE">
      <w:p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241FFE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külföldi vendégek programjának lebonyolításához a résztvevők szükséges létszámát, ellátását és azok költségeit </w:t>
      </w:r>
      <w:proofErr w:type="gramStart"/>
      <w:r w:rsidRPr="00856808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>előterjesztésben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kell szerepeltetni, mely költség-előirányzatának elkészítését </w:t>
      </w:r>
      <w:r w:rsidR="00F64502" w:rsidRPr="00856808">
        <w:rPr>
          <w:rFonts w:eastAsia="Times New Roman" w:cs="Times New Roman"/>
          <w:sz w:val="24"/>
          <w:szCs w:val="24"/>
          <w:lang w:eastAsia="hu-HU"/>
        </w:rPr>
        <w:t>a szakutasítás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1. melléklete határozza meg. A külföldi vendégek mellé kirendelt, ellátásra jogosult kísérők számát oly módon kell megállapítani, hogy az a vendégek létszámát lehetőleg ne haladja meg. A létszámot a Koordinációs Főosztály vezetője javaslatára az országos parancsnok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 xml:space="preserve"> vagy az országos parancsnok általános helyettese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hagyja jóvá. A kísérők létszámába beletartozik a tolmács is.</w:t>
      </w:r>
    </w:p>
    <w:p w:rsidR="006D1B19" w:rsidRPr="00856808" w:rsidRDefault="006D1B19" w:rsidP="00241FFE">
      <w:pPr>
        <w:spacing w:after="0"/>
        <w:ind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241FFE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vendéglátás kiterjed: </w:t>
      </w:r>
    </w:p>
    <w:p w:rsidR="00425E51" w:rsidRPr="00856808" w:rsidRDefault="00425E51" w:rsidP="005E72C0">
      <w:pPr>
        <w:pStyle w:val="Listaszerbekezds"/>
        <w:numPr>
          <w:ilvl w:val="0"/>
          <w:numId w:val="26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az elhelyezésre, </w:t>
      </w:r>
    </w:p>
    <w:p w:rsidR="00425E51" w:rsidRPr="00856808" w:rsidRDefault="00425E51" w:rsidP="005E72C0">
      <w:pPr>
        <w:pStyle w:val="Listaszerbekezds"/>
        <w:numPr>
          <w:ilvl w:val="0"/>
          <w:numId w:val="26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az élelmezési ellátásra, </w:t>
      </w:r>
    </w:p>
    <w:p w:rsidR="00425E51" w:rsidRPr="00856808" w:rsidRDefault="00425E51" w:rsidP="005E72C0">
      <w:pPr>
        <w:pStyle w:val="Listaszerbekezds"/>
        <w:numPr>
          <w:ilvl w:val="0"/>
          <w:numId w:val="26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kulturális rendezvények látogatására, </w:t>
      </w:r>
    </w:p>
    <w:p w:rsidR="00425E51" w:rsidRPr="00856808" w:rsidRDefault="00425E51" w:rsidP="005E72C0">
      <w:pPr>
        <w:pStyle w:val="Listaszerbekezds"/>
        <w:numPr>
          <w:ilvl w:val="0"/>
          <w:numId w:val="26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gépjárművel való közlekedés biztosítására, </w:t>
      </w:r>
    </w:p>
    <w:p w:rsidR="00425E51" w:rsidRPr="00856808" w:rsidRDefault="00425E51" w:rsidP="005E72C0">
      <w:pPr>
        <w:pStyle w:val="Listaszerbekezds"/>
        <w:numPr>
          <w:ilvl w:val="0"/>
          <w:numId w:val="26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>egyéb költségekre (előzetes engedély alapján).</w:t>
      </w:r>
    </w:p>
    <w:p w:rsidR="005E72C0" w:rsidRPr="00856808" w:rsidRDefault="005E72C0" w:rsidP="005E72C0">
      <w:pPr>
        <w:spacing w:after="0"/>
        <w:rPr>
          <w:rFonts w:eastAsia="Times New Roman" w:cs="Times New Roman"/>
          <w:sz w:val="24"/>
          <w:szCs w:val="24"/>
          <w:lang w:eastAsia="hu-HU"/>
        </w:rPr>
      </w:pPr>
    </w:p>
    <w:p w:rsidR="005E72C0" w:rsidRPr="00856808" w:rsidRDefault="00425E51" w:rsidP="005E72C0">
      <w:pPr>
        <w:pStyle w:val="Listaszerbekezds"/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vendéglátás ellátási szintjének felső keretösszegeit a </w:t>
      </w:r>
      <w:r w:rsidRPr="00856808">
        <w:rPr>
          <w:rFonts w:eastAsia="Times New Roman" w:cs="Times New Roman"/>
          <w:iCs/>
          <w:sz w:val="24"/>
          <w:szCs w:val="24"/>
          <w:lang w:eastAsia="hu-HU"/>
        </w:rPr>
        <w:t>2. melléklet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tartalmazza:</w:t>
      </w:r>
    </w:p>
    <w:p w:rsidR="005E72C0" w:rsidRPr="00856808" w:rsidRDefault="00425E51" w:rsidP="005E72C0">
      <w:pPr>
        <w:pStyle w:val="Listaszerbekezds"/>
        <w:numPr>
          <w:ilvl w:val="0"/>
          <w:numId w:val="28"/>
        </w:numPr>
        <w:spacing w:after="0"/>
        <w:ind w:left="851" w:hanging="425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I. kategória: az országos parancsnok, valamint helyetteseik által fogadott </w:t>
      </w:r>
    </w:p>
    <w:p w:rsidR="005E72C0" w:rsidRPr="00856808" w:rsidRDefault="005E72C0" w:rsidP="005E72C0">
      <w:pPr>
        <w:pStyle w:val="Listaszerbekezds"/>
        <w:spacing w:after="0"/>
        <w:ind w:left="786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856808">
        <w:rPr>
          <w:rFonts w:eastAsia="Times New Roman" w:cs="Times New Roman"/>
          <w:sz w:val="24"/>
          <w:szCs w:val="24"/>
          <w:lang w:eastAsia="hu-HU"/>
        </w:rPr>
        <w:t>vendégek</w:t>
      </w:r>
      <w:proofErr w:type="gramEnd"/>
      <w:r w:rsidRPr="00856808">
        <w:rPr>
          <w:rFonts w:eastAsia="Times New Roman" w:cs="Times New Roman"/>
          <w:sz w:val="24"/>
          <w:szCs w:val="24"/>
          <w:lang w:eastAsia="hu-HU"/>
        </w:rPr>
        <w:t>;</w:t>
      </w:r>
    </w:p>
    <w:p w:rsidR="005E72C0" w:rsidRPr="00856808" w:rsidRDefault="00425E51" w:rsidP="005E72C0">
      <w:pPr>
        <w:pStyle w:val="Listaszerbekezds"/>
        <w:numPr>
          <w:ilvl w:val="0"/>
          <w:numId w:val="27"/>
        </w:numPr>
        <w:spacing w:after="0"/>
        <w:ind w:left="851" w:hanging="425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II. kategória: </w:t>
      </w:r>
      <w:r w:rsidR="00214D0A" w:rsidRPr="00856808">
        <w:rPr>
          <w:rFonts w:eastAsia="Times New Roman" w:cs="Times New Roman"/>
          <w:sz w:val="24"/>
          <w:szCs w:val="24"/>
          <w:lang w:eastAsia="hu-HU"/>
        </w:rPr>
        <w:t xml:space="preserve">parancsnok, igazgató, valamint </w:t>
      </w:r>
      <w:r w:rsidRPr="00856808">
        <w:rPr>
          <w:rFonts w:eastAsia="Times New Roman" w:cs="Times New Roman"/>
          <w:sz w:val="24"/>
          <w:szCs w:val="24"/>
          <w:lang w:eastAsia="hu-HU"/>
        </w:rPr>
        <w:t>szakirányító1 és szakirányító2 által fogadott vendégek;</w:t>
      </w:r>
    </w:p>
    <w:p w:rsidR="00425E51" w:rsidRPr="00856808" w:rsidRDefault="005E72C0" w:rsidP="005E72C0">
      <w:pPr>
        <w:pStyle w:val="Listaszerbekezds"/>
        <w:numPr>
          <w:ilvl w:val="0"/>
          <w:numId w:val="27"/>
        </w:numPr>
        <w:spacing w:after="0"/>
        <w:ind w:left="709" w:hanging="283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  </w:t>
      </w:r>
      <w:r w:rsidR="00425E51" w:rsidRPr="00856808">
        <w:rPr>
          <w:rFonts w:eastAsia="Times New Roman" w:cs="Times New Roman"/>
          <w:sz w:val="24"/>
          <w:szCs w:val="24"/>
          <w:lang w:eastAsia="hu-HU"/>
        </w:rPr>
        <w:t>III. kategória: az I-II. kategóriába nem tartozó vendégek (pl. a vendégek szállításával és közvetlen ellátásával foglalkozó személyzet).</w:t>
      </w:r>
    </w:p>
    <w:p w:rsidR="00F90250" w:rsidRPr="00856808" w:rsidRDefault="00F90250" w:rsidP="00241FFE">
      <w:pPr>
        <w:pStyle w:val="Listaszerbekezds"/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5E72C0">
      <w:pPr>
        <w:pStyle w:val="Listaszerbekezds"/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>A vendégek ellátási szintjét a fogadó szervezeti egység vezetőjének a szolgálati beosztása szerint kell meghatározni. Az ellátási szintet az ellátási terven a 9. pontban foglalt kategóriák alapján kell feltüntetni. A vendéglátást a kísérők részére is biztosítani kell.</w:t>
      </w:r>
    </w:p>
    <w:p w:rsidR="00F90250" w:rsidRPr="00856808" w:rsidRDefault="00F90250" w:rsidP="005E72C0">
      <w:p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5E72C0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>Az I. kategóriáb</w:t>
      </w:r>
      <w:r w:rsidR="00F90250" w:rsidRPr="00856808">
        <w:rPr>
          <w:rFonts w:eastAsia="Times New Roman" w:cs="Times New Roman"/>
          <w:sz w:val="24"/>
          <w:szCs w:val="24"/>
          <w:lang w:eastAsia="hu-HU"/>
        </w:rPr>
        <w:t>a tartozó vendégek programjának,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ellátásának megszervezéséért, lebonyolításáért, a jóváhagyott költségvetés betartásáért a Koordinációs Főosztály vezetője, a II-III. kategóriába tartozó vendégek esetén a programok lebonyolításáért és a jóváhagyott költségvetés betartásáért a fogadó szervezeti egység vezetője a felelős.</w:t>
      </w:r>
    </w:p>
    <w:p w:rsidR="00F90250" w:rsidRPr="00856808" w:rsidRDefault="00F90250" w:rsidP="005E72C0">
      <w:p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5E72C0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>. intézetek által együttműködési megállapodásuk alapján fogadott külföldi vendégek vendéglátása során felmerült költségeket a saját költségvetésük terhére kötelesek elszámolni. Az éves fogadási tervet az intézet parancsnoka által meghatározott személy készíti el, a gazdasági vezető ellenjegyzése után a parancsnok írja alá.</w:t>
      </w:r>
    </w:p>
    <w:p w:rsidR="00F90250" w:rsidRPr="00856808" w:rsidRDefault="00F90250" w:rsidP="005E72C0">
      <w:p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5E72C0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>A vendéglátás során élelmezési ellátásban részesülő büntetés-végrehajtási dolgozó napidíjra nem jogosult.</w:t>
      </w:r>
    </w:p>
    <w:p w:rsidR="00F90250" w:rsidRPr="00856808" w:rsidRDefault="00F90250" w:rsidP="005E72C0">
      <w:p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5F7929" w:rsidRPr="00856808" w:rsidRDefault="00425E51" w:rsidP="00F64502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 xml:space="preserve">BVOP által fogadott 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vendégeket elsősorban a büntetés-végrehajtás kezelésében lévő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. Szervezet Oktatási, Továbbképzési és Rehabilitációs Központjában (Pilisszentkereszt vagy Igal), amennyiben erre nincs lehetőség, szállodában kell elhelyezni. 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 xml:space="preserve">Az I. kategóriába 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lastRenderedPageBreak/>
        <w:t>tartozó vendégek szállodában is elszállásolhatóak.</w:t>
      </w:r>
      <w:r w:rsidR="00F64502" w:rsidRPr="00856808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spellStart"/>
      <w:r w:rsidR="005F7929" w:rsidRPr="00856808"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 w:rsidR="005F7929" w:rsidRPr="00856808">
        <w:rPr>
          <w:rFonts w:eastAsia="Times New Roman" w:cs="Times New Roman"/>
          <w:sz w:val="24"/>
          <w:szCs w:val="24"/>
          <w:lang w:eastAsia="hu-HU"/>
        </w:rPr>
        <w:t>. intézetek által fogadott vendégeket a költséghatékonyság figyelembevételével kell elhelyezni.</w:t>
      </w:r>
    </w:p>
    <w:p w:rsidR="00F90250" w:rsidRPr="00856808" w:rsidRDefault="00F90250" w:rsidP="00F64502">
      <w:p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F90250" w:rsidRPr="00856808" w:rsidRDefault="00425E51" w:rsidP="00F64502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külföldi vendégek tagjai részére legalább napi háromszori étkezést kell biztosítani </w:t>
      </w:r>
      <w:r w:rsidR="00F64502" w:rsidRPr="00856808">
        <w:rPr>
          <w:rFonts w:eastAsia="Times New Roman" w:cs="Times New Roman"/>
          <w:sz w:val="24"/>
          <w:szCs w:val="24"/>
          <w:lang w:eastAsia="hu-HU"/>
        </w:rPr>
        <w:t>a szakutasítás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856808">
        <w:rPr>
          <w:rFonts w:eastAsia="Times New Roman" w:cs="Times New Roman"/>
          <w:iCs/>
          <w:sz w:val="24"/>
          <w:szCs w:val="24"/>
          <w:lang w:eastAsia="hu-HU"/>
        </w:rPr>
        <w:t>2. mellékletében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megjelöltek szerint, az érkezés és az elutazás idő</w:t>
      </w:r>
      <w:r w:rsidR="00F90250" w:rsidRPr="00856808">
        <w:rPr>
          <w:rFonts w:eastAsia="Times New Roman" w:cs="Times New Roman"/>
          <w:sz w:val="24"/>
          <w:szCs w:val="24"/>
          <w:lang w:eastAsia="hu-HU"/>
        </w:rPr>
        <w:t xml:space="preserve">pontjának figyelembevételével. </w:t>
      </w:r>
    </w:p>
    <w:p w:rsidR="00F90250" w:rsidRPr="00856808" w:rsidRDefault="00F90250" w:rsidP="00F64502">
      <w:p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F90250" w:rsidRPr="00856808" w:rsidRDefault="00425E51" w:rsidP="00F64502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külföldi vendégek részére 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 xml:space="preserve">lehetőség szerint 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bv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>. intézetekben kell biztosítani a napi étkezéseket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>. Az I. kategóriába tartozók esetében éttermi étkezési is biztosítható.</w:t>
      </w:r>
    </w:p>
    <w:p w:rsidR="005F7929" w:rsidRPr="00856808" w:rsidRDefault="005F7929" w:rsidP="00F64502">
      <w:p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F64502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külföldi vendégek részére egy alkalommal díszétkezés biztosítható, amelyen a magyar kísérők is részt vesznek. A díszétkezés normáit </w:t>
      </w:r>
      <w:r w:rsidR="00F64502" w:rsidRPr="00856808">
        <w:rPr>
          <w:rFonts w:eastAsia="Times New Roman" w:cs="Times New Roman"/>
          <w:sz w:val="24"/>
          <w:szCs w:val="24"/>
          <w:lang w:eastAsia="hu-HU"/>
        </w:rPr>
        <w:t>a szakutasítás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856808">
        <w:rPr>
          <w:rFonts w:eastAsia="Times New Roman" w:cs="Times New Roman"/>
          <w:iCs/>
          <w:sz w:val="24"/>
          <w:szCs w:val="24"/>
          <w:lang w:eastAsia="hu-HU"/>
        </w:rPr>
        <w:t>3. melléklete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tartalmazza.</w:t>
      </w:r>
    </w:p>
    <w:p w:rsidR="00F90250" w:rsidRPr="00856808" w:rsidRDefault="00F90250" w:rsidP="00F64502">
      <w:p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F64502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külföldi vendégek részére </w:t>
      </w:r>
      <w:r w:rsidR="00F64502" w:rsidRPr="00856808">
        <w:rPr>
          <w:rFonts w:eastAsia="Times New Roman" w:cs="Times New Roman"/>
          <w:sz w:val="24"/>
          <w:szCs w:val="24"/>
          <w:lang w:eastAsia="hu-HU"/>
        </w:rPr>
        <w:t>a szakutasítás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856808">
        <w:rPr>
          <w:rFonts w:eastAsia="Times New Roman" w:cs="Times New Roman"/>
          <w:iCs/>
          <w:sz w:val="24"/>
          <w:szCs w:val="24"/>
          <w:lang w:eastAsia="hu-HU"/>
        </w:rPr>
        <w:t>4. melléklet</w:t>
      </w:r>
      <w:r w:rsidR="00F64502" w:rsidRPr="00856808">
        <w:rPr>
          <w:rFonts w:eastAsia="Times New Roman" w:cs="Times New Roman"/>
          <w:iCs/>
          <w:sz w:val="24"/>
          <w:szCs w:val="24"/>
          <w:lang w:eastAsia="hu-HU"/>
        </w:rPr>
        <w:t>e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megjelöltek szerint lehet kulturális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 xml:space="preserve"> és büféköltséget megállapítani, ettől eltérni előzetes engedély alapján lehet.</w:t>
      </w:r>
    </w:p>
    <w:p w:rsidR="00F90250" w:rsidRPr="00856808" w:rsidRDefault="00F90250" w:rsidP="00F64502">
      <w:p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F64502">
      <w:pPr>
        <w:numPr>
          <w:ilvl w:val="0"/>
          <w:numId w:val="20"/>
        </w:numPr>
        <w:spacing w:after="0"/>
        <w:ind w:left="284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>A külföldi vendégek szállítására a büntetés-végrehajtás gépjárműveit kell igénybe venni.</w:t>
      </w:r>
    </w:p>
    <w:p w:rsidR="00F90250" w:rsidRPr="00856808" w:rsidRDefault="00F90250" w:rsidP="00F90250">
      <w:pPr>
        <w:spacing w:after="0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5E72C0">
      <w:pPr>
        <w:numPr>
          <w:ilvl w:val="0"/>
          <w:numId w:val="20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Az éves fogadási terveknek megfelelően a külföldi vendégek tagjai részére ajándék adható. Az ajándékozás éves költségvetési előirányzatát a </w:t>
      </w:r>
      <w:proofErr w:type="spellStart"/>
      <w:r w:rsidR="005F7929" w:rsidRPr="00856808">
        <w:rPr>
          <w:rFonts w:eastAsia="Times New Roman" w:cs="Times New Roman"/>
          <w:sz w:val="24"/>
          <w:szCs w:val="24"/>
          <w:lang w:eastAsia="hu-HU"/>
        </w:rPr>
        <w:t>BVOP</w:t>
      </w:r>
      <w:r w:rsidRPr="00856808">
        <w:rPr>
          <w:rFonts w:eastAsia="Times New Roman" w:cs="Times New Roman"/>
          <w:sz w:val="24"/>
          <w:szCs w:val="24"/>
          <w:lang w:eastAsia="hu-HU"/>
        </w:rPr>
        <w:t>-n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 a Koordinációs Főosztály tervezi meg, melyet az országos parancsnok hagy jóvá.</w:t>
      </w:r>
    </w:p>
    <w:p w:rsidR="00F90250" w:rsidRPr="00856808" w:rsidRDefault="00F90250" w:rsidP="00241FFE">
      <w:p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5E72C0">
      <w:pPr>
        <w:numPr>
          <w:ilvl w:val="0"/>
          <w:numId w:val="20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>A nemzetközi konferenciák során felhasználható ellátási költségeket az 5</w:t>
      </w:r>
      <w:r w:rsidRPr="00856808">
        <w:rPr>
          <w:rFonts w:eastAsia="Times New Roman" w:cs="Times New Roman"/>
          <w:iCs/>
          <w:sz w:val="24"/>
          <w:szCs w:val="24"/>
          <w:lang w:eastAsia="hu-HU"/>
        </w:rPr>
        <w:t>. melléklet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tartalmazza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>, ettől eltérni előzetes engedély alapján lehet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. A konferenciák lebonyolításához programot és ellátási tervet kell készíteni, melynek dokumentálását és elszámolását a </w:t>
      </w:r>
      <w:r w:rsidRPr="00856808">
        <w:rPr>
          <w:rFonts w:eastAsia="Times New Roman" w:cs="Times New Roman"/>
          <w:iCs/>
          <w:sz w:val="24"/>
          <w:szCs w:val="24"/>
          <w:lang w:eastAsia="hu-HU"/>
        </w:rPr>
        <w:t>6. melléklet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felhasználása alapján kell elvégezni. </w:t>
      </w:r>
    </w:p>
    <w:p w:rsidR="00F90250" w:rsidRPr="00856808" w:rsidRDefault="00F90250" w:rsidP="00241FFE">
      <w:p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5E72C0">
      <w:pPr>
        <w:numPr>
          <w:ilvl w:val="0"/>
          <w:numId w:val="20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Az országos parancsnok által jóváhagyott összegek nem léphetők túl. Ha erre valamilyen előre nem látható és indokolt ok miatt mégis sor kerülne, a II. és III. kategóriába tartozó vendégek esetében a fogadó szervezeti egység vezetője javaslatára, a </w:t>
      </w:r>
      <w:r w:rsidR="005F7929" w:rsidRPr="00856808">
        <w:rPr>
          <w:rFonts w:eastAsia="Times New Roman" w:cs="Times New Roman"/>
          <w:sz w:val="24"/>
          <w:szCs w:val="24"/>
          <w:lang w:eastAsia="hu-HU"/>
        </w:rPr>
        <w:t>K</w:t>
      </w:r>
      <w:r w:rsidRPr="00856808">
        <w:rPr>
          <w:rFonts w:eastAsia="Times New Roman" w:cs="Times New Roman"/>
          <w:sz w:val="24"/>
          <w:szCs w:val="24"/>
          <w:lang w:eastAsia="hu-HU"/>
        </w:rPr>
        <w:t>oordinációs Főosztály vezetője egy új ellátási tervet készít, melyet a Közgazdasági Fő</w:t>
      </w:r>
      <w:r w:rsidR="00F64502" w:rsidRPr="00856808">
        <w:rPr>
          <w:rFonts w:eastAsia="Times New Roman" w:cs="Times New Roman"/>
          <w:sz w:val="24"/>
          <w:szCs w:val="24"/>
          <w:lang w:eastAsia="hu-HU"/>
        </w:rPr>
        <w:t>osztály ellenőrzését követően</w:t>
      </w:r>
      <w:proofErr w:type="gramStart"/>
      <w:r w:rsidR="00F64502" w:rsidRPr="00856808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a</w:t>
      </w:r>
      <w:proofErr w:type="gram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 gazdasági és informatikai helyettes ellenjegyzése után az országos parancsnok engedélyezhet.</w:t>
      </w:r>
    </w:p>
    <w:p w:rsidR="00F90250" w:rsidRPr="00856808" w:rsidRDefault="00F90250" w:rsidP="00F90250">
      <w:pPr>
        <w:spacing w:after="0"/>
        <w:rPr>
          <w:rFonts w:eastAsia="Times New Roman" w:cs="Times New Roman"/>
          <w:sz w:val="24"/>
          <w:szCs w:val="24"/>
          <w:lang w:eastAsia="hu-HU"/>
        </w:rPr>
      </w:pPr>
    </w:p>
    <w:p w:rsidR="00425E51" w:rsidRPr="00856808" w:rsidRDefault="00425E51" w:rsidP="005E72C0">
      <w:pPr>
        <w:numPr>
          <w:ilvl w:val="0"/>
          <w:numId w:val="20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költségek fedezetére felvehető előleg a fogadási és ellátási terv jóváhagyása után. </w:t>
      </w:r>
      <w:r w:rsidRPr="00856808">
        <w:rPr>
          <w:rFonts w:eastAsia="Times New Roman" w:cs="Times New Roman"/>
          <w:sz w:val="24"/>
          <w:szCs w:val="24"/>
          <w:lang w:eastAsia="hu-HU"/>
        </w:rPr>
        <w:br/>
        <w:t>A külföldi vendégek fogadására jóváhagyott előirányzat nem jár felhasználási kötelezettséggel.</w:t>
      </w:r>
    </w:p>
    <w:p w:rsidR="00241FFE" w:rsidRPr="00856808" w:rsidRDefault="00241FFE" w:rsidP="00241FFE">
      <w:pPr>
        <w:pStyle w:val="Listaszerbekezds"/>
        <w:rPr>
          <w:rFonts w:eastAsia="Times New Roman" w:cs="Times New Roman"/>
          <w:sz w:val="24"/>
          <w:szCs w:val="24"/>
          <w:lang w:eastAsia="hu-HU"/>
        </w:rPr>
      </w:pPr>
    </w:p>
    <w:p w:rsidR="00241FFE" w:rsidRPr="00856808" w:rsidRDefault="00241FFE" w:rsidP="005E72C0">
      <w:pPr>
        <w:pStyle w:val="Listaszerbekezds"/>
        <w:numPr>
          <w:ilvl w:val="0"/>
          <w:numId w:val="20"/>
        </w:numPr>
        <w:spacing w:after="0"/>
        <w:ind w:left="426" w:hanging="426"/>
        <w:jc w:val="left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F64502" w:rsidRPr="00856808">
        <w:rPr>
          <w:rFonts w:eastAsia="Times New Roman" w:cs="Times New Roman"/>
          <w:sz w:val="24"/>
          <w:szCs w:val="24"/>
          <w:lang w:eastAsia="hu-HU"/>
        </w:rPr>
        <w:t>szakutasítás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856808">
        <w:rPr>
          <w:rFonts w:eastAsia="Times New Roman" w:cs="Times New Roman"/>
          <w:iCs/>
          <w:sz w:val="24"/>
          <w:szCs w:val="24"/>
          <w:lang w:eastAsia="hu-HU"/>
        </w:rPr>
        <w:t>mellékleteiben</w:t>
      </w:r>
      <w:r w:rsidRPr="00856808">
        <w:rPr>
          <w:rFonts w:eastAsia="Times New Roman" w:cs="Times New Roman"/>
          <w:sz w:val="24"/>
          <w:szCs w:val="24"/>
          <w:lang w:eastAsia="hu-HU"/>
        </w:rPr>
        <w:t xml:space="preserve"> meghatározott összegek áfa nélkül értendők.</w:t>
      </w:r>
    </w:p>
    <w:p w:rsidR="00241FFE" w:rsidRPr="00856808" w:rsidRDefault="00241FFE" w:rsidP="00241FFE">
      <w:pPr>
        <w:spacing w:after="0"/>
        <w:ind w:left="284"/>
        <w:rPr>
          <w:rFonts w:eastAsia="Times New Roman" w:cs="Times New Roman"/>
          <w:sz w:val="24"/>
          <w:szCs w:val="24"/>
          <w:lang w:eastAsia="hu-HU"/>
        </w:rPr>
      </w:pPr>
    </w:p>
    <w:p w:rsidR="00856808" w:rsidRDefault="00856808">
      <w:pPr>
        <w:spacing w:after="200" w:line="276" w:lineRule="auto"/>
        <w:jc w:val="left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b/>
          <w:bCs/>
        </w:rPr>
        <w:br w:type="page"/>
      </w:r>
    </w:p>
    <w:p w:rsidR="00241FFE" w:rsidRPr="00856808" w:rsidRDefault="00A50770" w:rsidP="00241FFE">
      <w:pPr>
        <w:pStyle w:val="NormlWeb"/>
        <w:spacing w:before="0" w:beforeAutospacing="0"/>
        <w:jc w:val="center"/>
      </w:pPr>
      <w:r w:rsidRPr="00856808">
        <w:rPr>
          <w:b/>
          <w:bCs/>
        </w:rPr>
        <w:lastRenderedPageBreak/>
        <w:t>V.</w:t>
      </w:r>
      <w:r w:rsidRPr="00856808">
        <w:rPr>
          <w:b/>
          <w:bCs/>
        </w:rPr>
        <w:br/>
        <w:t>Záró rendelkezés</w:t>
      </w:r>
    </w:p>
    <w:p w:rsidR="00241FFE" w:rsidRPr="00856808" w:rsidRDefault="00241FFE" w:rsidP="00241FFE">
      <w:pPr>
        <w:pStyle w:val="NormlWeb"/>
        <w:spacing w:before="0" w:beforeAutospacing="0"/>
      </w:pPr>
    </w:p>
    <w:p w:rsidR="00A50770" w:rsidRPr="00856808" w:rsidRDefault="00A50770" w:rsidP="005E72C0">
      <w:pPr>
        <w:pStyle w:val="NormlWeb"/>
        <w:numPr>
          <w:ilvl w:val="0"/>
          <w:numId w:val="20"/>
        </w:numPr>
        <w:spacing w:before="0" w:beforeAutospacing="0"/>
        <w:ind w:left="426" w:hanging="426"/>
      </w:pPr>
      <w:r w:rsidRPr="00856808">
        <w:t xml:space="preserve">Jelen szakutasítás </w:t>
      </w:r>
      <w:r w:rsidR="00D41AA2" w:rsidRPr="00856808">
        <w:t>a kiadás napján</w:t>
      </w:r>
      <w:r w:rsidRPr="00856808">
        <w:t xml:space="preserve"> lép hatályba.</w:t>
      </w:r>
    </w:p>
    <w:p w:rsidR="00241FFE" w:rsidRPr="00856808" w:rsidRDefault="00241FFE" w:rsidP="00241FFE">
      <w:pPr>
        <w:pStyle w:val="NormlWeb"/>
        <w:spacing w:before="0" w:beforeAutospacing="0"/>
        <w:ind w:left="720"/>
        <w:jc w:val="both"/>
      </w:pPr>
    </w:p>
    <w:p w:rsidR="007C324A" w:rsidRPr="00856808" w:rsidRDefault="00D41AA2" w:rsidP="005E72C0">
      <w:pPr>
        <w:pStyle w:val="NormlWeb"/>
        <w:numPr>
          <w:ilvl w:val="0"/>
          <w:numId w:val="20"/>
        </w:numPr>
        <w:spacing w:before="0" w:beforeAutospacing="0" w:after="284"/>
        <w:ind w:left="426" w:hanging="426"/>
        <w:jc w:val="both"/>
      </w:pPr>
      <w:r w:rsidRPr="00856808">
        <w:t>Hatályát veszti a külföldi küldöttségek, vendégek fogadásáról, vendéglátásáról</w:t>
      </w:r>
      <w:r w:rsidR="00A50770" w:rsidRPr="00856808">
        <w:t xml:space="preserve"> szóló </w:t>
      </w:r>
      <w:r w:rsidRPr="00856808">
        <w:t xml:space="preserve">1-1/5/1999. (IK. </w:t>
      </w:r>
      <w:proofErr w:type="spellStart"/>
      <w:r w:rsidRPr="00856808">
        <w:t>Bv</w:t>
      </w:r>
      <w:proofErr w:type="spellEnd"/>
      <w:r w:rsidRPr="00856808">
        <w:t>. Mell. 1.) OP</w:t>
      </w:r>
      <w:r w:rsidR="00241FFE" w:rsidRPr="00856808">
        <w:t xml:space="preserve"> intézkedés.</w:t>
      </w:r>
    </w:p>
    <w:p w:rsidR="00241FFE" w:rsidRPr="00856808" w:rsidRDefault="00241FFE" w:rsidP="00241FFE">
      <w:pPr>
        <w:pStyle w:val="Listaszerbekezds"/>
        <w:rPr>
          <w:b/>
          <w:bCs/>
          <w:sz w:val="24"/>
          <w:szCs w:val="24"/>
        </w:rPr>
      </w:pPr>
    </w:p>
    <w:p w:rsidR="00241FFE" w:rsidRPr="00856808" w:rsidRDefault="00241FFE" w:rsidP="00241FFE">
      <w:pPr>
        <w:pStyle w:val="NormlWeb"/>
        <w:spacing w:before="0" w:beforeAutospacing="0" w:after="284"/>
        <w:ind w:left="426"/>
        <w:jc w:val="both"/>
        <w:rPr>
          <w:b/>
          <w:bCs/>
        </w:rPr>
      </w:pPr>
    </w:p>
    <w:p w:rsidR="00D41AA2" w:rsidRPr="00856808" w:rsidRDefault="00A50770" w:rsidP="00D41AA2">
      <w:pPr>
        <w:pStyle w:val="NormlWeb"/>
        <w:spacing w:before="0" w:beforeAutospacing="0"/>
        <w:ind w:left="4248" w:firstLine="708"/>
        <w:rPr>
          <w:b/>
          <w:bCs/>
        </w:rPr>
      </w:pPr>
      <w:r w:rsidRPr="00856808">
        <w:rPr>
          <w:b/>
          <w:bCs/>
        </w:rPr>
        <w:t xml:space="preserve">Csóti András </w:t>
      </w:r>
      <w:proofErr w:type="spellStart"/>
      <w:r w:rsidRPr="00856808">
        <w:rPr>
          <w:b/>
          <w:bCs/>
        </w:rPr>
        <w:t>bv</w:t>
      </w:r>
      <w:proofErr w:type="spellEnd"/>
      <w:r w:rsidRPr="00856808">
        <w:rPr>
          <w:b/>
          <w:bCs/>
        </w:rPr>
        <w:t>.</w:t>
      </w:r>
      <w:r w:rsidR="007C324A" w:rsidRPr="00856808">
        <w:rPr>
          <w:b/>
          <w:bCs/>
        </w:rPr>
        <w:t xml:space="preserve"> altábor</w:t>
      </w:r>
      <w:r w:rsidR="00D41AA2" w:rsidRPr="00856808">
        <w:rPr>
          <w:b/>
          <w:bCs/>
        </w:rPr>
        <w:t>nagy</w:t>
      </w:r>
    </w:p>
    <w:p w:rsidR="00A50770" w:rsidRPr="00856808" w:rsidRDefault="00D41AA2" w:rsidP="00D41AA2">
      <w:pPr>
        <w:pStyle w:val="NormlWeb"/>
        <w:spacing w:before="0" w:beforeAutospacing="0"/>
        <w:ind w:left="4956"/>
        <w:rPr>
          <w:b/>
        </w:rPr>
      </w:pPr>
      <w:r w:rsidRPr="00856808">
        <w:rPr>
          <w:b/>
        </w:rPr>
        <w:t xml:space="preserve">      </w:t>
      </w:r>
      <w:proofErr w:type="gramStart"/>
      <w:r w:rsidR="00A50770" w:rsidRPr="00856808">
        <w:rPr>
          <w:b/>
        </w:rPr>
        <w:t>országos</w:t>
      </w:r>
      <w:proofErr w:type="gramEnd"/>
      <w:r w:rsidR="00A50770" w:rsidRPr="00856808">
        <w:rPr>
          <w:b/>
        </w:rPr>
        <w:t xml:space="preserve"> parancsnok</w:t>
      </w:r>
    </w:p>
    <w:p w:rsidR="00856808" w:rsidRPr="00856808" w:rsidRDefault="00856808" w:rsidP="00856808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856808" w:rsidRPr="00856808" w:rsidRDefault="00856808" w:rsidP="00856808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>Mellékletek:</w:t>
      </w:r>
    </w:p>
    <w:p w:rsidR="00856808" w:rsidRPr="00856808" w:rsidRDefault="00856808" w:rsidP="00856808">
      <w:pPr>
        <w:spacing w:after="0"/>
        <w:ind w:firstLine="567"/>
        <w:jc w:val="left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sz.melléklet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: </w:t>
      </w:r>
      <w:hyperlink r:id="rId6" w:history="1">
        <w:r w:rsidRPr="00F73016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A külföldi vendégek ellátásának költségelőirányzata</w:t>
        </w:r>
      </w:hyperlink>
    </w:p>
    <w:p w:rsidR="00856808" w:rsidRPr="00856808" w:rsidRDefault="00856808" w:rsidP="00856808">
      <w:pPr>
        <w:spacing w:after="0"/>
        <w:ind w:firstLine="567"/>
        <w:jc w:val="left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sz.függelék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: </w:t>
      </w:r>
      <w:hyperlink r:id="rId7" w:history="1">
        <w:r w:rsidRPr="00F73016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A vendéglátás ellátási szintjének felső keretösszeg</w:t>
        </w:r>
      </w:hyperlink>
    </w:p>
    <w:p w:rsidR="00856808" w:rsidRPr="00856808" w:rsidRDefault="00856808" w:rsidP="00856808">
      <w:pPr>
        <w:spacing w:after="0"/>
        <w:ind w:firstLine="567"/>
        <w:jc w:val="left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sz.függelék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: </w:t>
      </w:r>
      <w:hyperlink r:id="rId8" w:history="1">
        <w:r w:rsidRPr="00F73016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Díszétkezés normái</w:t>
        </w:r>
      </w:hyperlink>
    </w:p>
    <w:p w:rsidR="00856808" w:rsidRPr="00856808" w:rsidRDefault="00856808" w:rsidP="00856808">
      <w:pPr>
        <w:spacing w:after="0"/>
        <w:ind w:firstLine="567"/>
        <w:jc w:val="left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sz.függelék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: </w:t>
      </w:r>
      <w:hyperlink r:id="rId9" w:history="1">
        <w:r w:rsidRPr="00F73016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Kulturális és büféköltségek személyenként, naponta</w:t>
        </w:r>
      </w:hyperlink>
      <w:r w:rsidRPr="00856808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856808" w:rsidRPr="00856808" w:rsidRDefault="00856808" w:rsidP="00856808">
      <w:pPr>
        <w:spacing w:after="0"/>
        <w:ind w:firstLine="567"/>
        <w:jc w:val="left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sz.függelék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: </w:t>
      </w:r>
      <w:hyperlink r:id="rId10" w:history="1">
        <w:r w:rsidRPr="00F73016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Nemzetközi konferencia személyenként</w:t>
        </w:r>
      </w:hyperlink>
      <w:r w:rsidRPr="00856808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241FFE" w:rsidRPr="00856808" w:rsidRDefault="00856808" w:rsidP="00856808">
      <w:pPr>
        <w:spacing w:after="0"/>
        <w:ind w:firstLine="567"/>
        <w:jc w:val="left"/>
        <w:rPr>
          <w:rFonts w:eastAsia="Times New Roman" w:cs="Times New Roman"/>
          <w:sz w:val="24"/>
          <w:szCs w:val="24"/>
          <w:lang w:eastAsia="hu-HU"/>
        </w:rPr>
      </w:pPr>
      <w:r w:rsidRPr="00856808">
        <w:rPr>
          <w:rFonts w:eastAsia="Times New Roman" w:cs="Times New Roman"/>
          <w:sz w:val="24"/>
          <w:szCs w:val="24"/>
          <w:lang w:eastAsia="hu-HU"/>
        </w:rPr>
        <w:t xml:space="preserve">6. </w:t>
      </w:r>
      <w:proofErr w:type="spellStart"/>
      <w:r w:rsidRPr="00856808">
        <w:rPr>
          <w:rFonts w:eastAsia="Times New Roman" w:cs="Times New Roman"/>
          <w:sz w:val="24"/>
          <w:szCs w:val="24"/>
          <w:lang w:eastAsia="hu-HU"/>
        </w:rPr>
        <w:t>sz.függelék</w:t>
      </w:r>
      <w:proofErr w:type="spellEnd"/>
      <w:r w:rsidRPr="00856808">
        <w:rPr>
          <w:rFonts w:eastAsia="Times New Roman" w:cs="Times New Roman"/>
          <w:sz w:val="24"/>
          <w:szCs w:val="24"/>
          <w:lang w:eastAsia="hu-HU"/>
        </w:rPr>
        <w:t xml:space="preserve">: </w:t>
      </w:r>
      <w:hyperlink r:id="rId11" w:history="1">
        <w:r w:rsidRPr="00F73016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A nemzetközi konferenciák ellátási költségei</w:t>
        </w:r>
      </w:hyperlink>
      <w:bookmarkStart w:id="0" w:name="_GoBack"/>
      <w:bookmarkEnd w:id="0"/>
    </w:p>
    <w:p w:rsidR="00241FFE" w:rsidRPr="00856808" w:rsidRDefault="00241FFE" w:rsidP="007C324A">
      <w:pPr>
        <w:pStyle w:val="NormlWeb"/>
        <w:spacing w:after="284"/>
        <w:jc w:val="right"/>
        <w:rPr>
          <w:b/>
        </w:rPr>
      </w:pPr>
    </w:p>
    <w:p w:rsidR="00241FFE" w:rsidRPr="00856808" w:rsidRDefault="00241FFE" w:rsidP="007C324A">
      <w:pPr>
        <w:pStyle w:val="NormlWeb"/>
        <w:spacing w:after="284"/>
        <w:jc w:val="right"/>
        <w:rPr>
          <w:b/>
        </w:rPr>
      </w:pPr>
    </w:p>
    <w:p w:rsidR="00241FFE" w:rsidRPr="00856808" w:rsidRDefault="00241FFE" w:rsidP="007C324A">
      <w:pPr>
        <w:pStyle w:val="NormlWeb"/>
        <w:spacing w:after="284"/>
        <w:jc w:val="right"/>
        <w:rPr>
          <w:b/>
        </w:rPr>
      </w:pPr>
    </w:p>
    <w:p w:rsidR="00241FFE" w:rsidRPr="00856808" w:rsidRDefault="00241FFE" w:rsidP="007C324A">
      <w:pPr>
        <w:pStyle w:val="NormlWeb"/>
        <w:spacing w:after="284"/>
        <w:jc w:val="right"/>
        <w:rPr>
          <w:b/>
        </w:rPr>
      </w:pPr>
    </w:p>
    <w:p w:rsidR="00241FFE" w:rsidRPr="00856808" w:rsidRDefault="00241FFE" w:rsidP="007C324A">
      <w:pPr>
        <w:pStyle w:val="NormlWeb"/>
        <w:spacing w:after="284"/>
        <w:jc w:val="right"/>
        <w:rPr>
          <w:b/>
        </w:rPr>
      </w:pPr>
    </w:p>
    <w:p w:rsidR="00241FFE" w:rsidRPr="00856808" w:rsidRDefault="00241FFE" w:rsidP="007C324A">
      <w:pPr>
        <w:pStyle w:val="NormlWeb"/>
        <w:spacing w:after="284"/>
        <w:jc w:val="right"/>
        <w:rPr>
          <w:b/>
        </w:rPr>
      </w:pPr>
    </w:p>
    <w:p w:rsidR="00241FFE" w:rsidRPr="00856808" w:rsidRDefault="00241FFE" w:rsidP="007C324A">
      <w:pPr>
        <w:pStyle w:val="NormlWeb"/>
        <w:spacing w:after="284"/>
        <w:jc w:val="right"/>
        <w:rPr>
          <w:b/>
        </w:rPr>
      </w:pPr>
    </w:p>
    <w:p w:rsidR="00241FFE" w:rsidRPr="00856808" w:rsidRDefault="00241FFE" w:rsidP="007C324A">
      <w:pPr>
        <w:pStyle w:val="NormlWeb"/>
        <w:spacing w:after="284"/>
        <w:jc w:val="right"/>
        <w:rPr>
          <w:b/>
        </w:rPr>
      </w:pPr>
    </w:p>
    <w:p w:rsidR="00241FFE" w:rsidRPr="00856808" w:rsidRDefault="00241FFE" w:rsidP="007C324A">
      <w:pPr>
        <w:pStyle w:val="NormlWeb"/>
        <w:spacing w:after="284"/>
        <w:jc w:val="right"/>
        <w:rPr>
          <w:b/>
        </w:rPr>
      </w:pPr>
    </w:p>
    <w:sectPr w:rsidR="00241FFE" w:rsidRPr="0085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4C7"/>
    <w:multiLevelType w:val="multilevel"/>
    <w:tmpl w:val="843C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26AFA"/>
    <w:multiLevelType w:val="hybridMultilevel"/>
    <w:tmpl w:val="7F1CC0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7B5A"/>
    <w:multiLevelType w:val="multilevel"/>
    <w:tmpl w:val="F5A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41256"/>
    <w:multiLevelType w:val="multilevel"/>
    <w:tmpl w:val="6042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CC71AF"/>
    <w:multiLevelType w:val="multilevel"/>
    <w:tmpl w:val="150E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D37A8"/>
    <w:multiLevelType w:val="multilevel"/>
    <w:tmpl w:val="E0E0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D650B"/>
    <w:multiLevelType w:val="hybridMultilevel"/>
    <w:tmpl w:val="96EEB7D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08DF"/>
    <w:multiLevelType w:val="hybridMultilevel"/>
    <w:tmpl w:val="F93E4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22534"/>
    <w:multiLevelType w:val="hybridMultilevel"/>
    <w:tmpl w:val="A01CD14C"/>
    <w:lvl w:ilvl="0" w:tplc="040E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9">
    <w:nsid w:val="165B566C"/>
    <w:multiLevelType w:val="hybridMultilevel"/>
    <w:tmpl w:val="75641D9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C05B4"/>
    <w:multiLevelType w:val="hybridMultilevel"/>
    <w:tmpl w:val="DD8ABB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F7925"/>
    <w:multiLevelType w:val="multilevel"/>
    <w:tmpl w:val="C91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C43E3"/>
    <w:multiLevelType w:val="hybridMultilevel"/>
    <w:tmpl w:val="3BA8E64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521006"/>
    <w:multiLevelType w:val="multilevel"/>
    <w:tmpl w:val="C772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A5C48"/>
    <w:multiLevelType w:val="hybridMultilevel"/>
    <w:tmpl w:val="DB361EAA"/>
    <w:lvl w:ilvl="0" w:tplc="BA48C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05D84"/>
    <w:multiLevelType w:val="multilevel"/>
    <w:tmpl w:val="B97C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20CF9"/>
    <w:multiLevelType w:val="hybridMultilevel"/>
    <w:tmpl w:val="9CB089B2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FC7776"/>
    <w:multiLevelType w:val="hybridMultilevel"/>
    <w:tmpl w:val="87FC47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F10C9"/>
    <w:multiLevelType w:val="hybridMultilevel"/>
    <w:tmpl w:val="EF205822"/>
    <w:lvl w:ilvl="0" w:tplc="759EB6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A40D03"/>
    <w:multiLevelType w:val="multilevel"/>
    <w:tmpl w:val="9F5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93812"/>
    <w:multiLevelType w:val="hybridMultilevel"/>
    <w:tmpl w:val="8090A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84042"/>
    <w:multiLevelType w:val="multilevel"/>
    <w:tmpl w:val="B7EC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1795E"/>
    <w:multiLevelType w:val="multilevel"/>
    <w:tmpl w:val="A1C0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92860"/>
    <w:multiLevelType w:val="hybridMultilevel"/>
    <w:tmpl w:val="5F5CB8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0832DF"/>
    <w:multiLevelType w:val="multilevel"/>
    <w:tmpl w:val="9250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87044E"/>
    <w:multiLevelType w:val="hybridMultilevel"/>
    <w:tmpl w:val="8CA64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C31580"/>
    <w:multiLevelType w:val="hybridMultilevel"/>
    <w:tmpl w:val="F4F4C8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11"/>
  </w:num>
  <w:num w:numId="5">
    <w:abstractNumId w:val="13"/>
  </w:num>
  <w:num w:numId="6">
    <w:abstractNumId w:val="0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25"/>
  </w:num>
  <w:num w:numId="16">
    <w:abstractNumId w:val="26"/>
  </w:num>
  <w:num w:numId="17">
    <w:abstractNumId w:val="20"/>
  </w:num>
  <w:num w:numId="18">
    <w:abstractNumId w:val="23"/>
  </w:num>
  <w:num w:numId="19">
    <w:abstractNumId w:val="22"/>
  </w:num>
  <w:num w:numId="20">
    <w:abstractNumId w:val="14"/>
  </w:num>
  <w:num w:numId="21">
    <w:abstractNumId w:val="7"/>
  </w:num>
  <w:num w:numId="22">
    <w:abstractNumId w:val="2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7"/>
  </w:num>
  <w:num w:numId="25">
    <w:abstractNumId w:val="8"/>
  </w:num>
  <w:num w:numId="26">
    <w:abstractNumId w:val="16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30"/>
    <w:rsid w:val="00035CFE"/>
    <w:rsid w:val="00214D0A"/>
    <w:rsid w:val="00241FFE"/>
    <w:rsid w:val="002A201B"/>
    <w:rsid w:val="00342792"/>
    <w:rsid w:val="00425E51"/>
    <w:rsid w:val="005B690E"/>
    <w:rsid w:val="005E72C0"/>
    <w:rsid w:val="005F7929"/>
    <w:rsid w:val="00634AE5"/>
    <w:rsid w:val="0064027A"/>
    <w:rsid w:val="006C04A0"/>
    <w:rsid w:val="006D1B19"/>
    <w:rsid w:val="007C324A"/>
    <w:rsid w:val="00856808"/>
    <w:rsid w:val="008B7182"/>
    <w:rsid w:val="00A50770"/>
    <w:rsid w:val="00B16EF5"/>
    <w:rsid w:val="00B734D8"/>
    <w:rsid w:val="00BC3E9F"/>
    <w:rsid w:val="00CF1E92"/>
    <w:rsid w:val="00D41AA2"/>
    <w:rsid w:val="00DD19F8"/>
    <w:rsid w:val="00E20330"/>
    <w:rsid w:val="00F64502"/>
    <w:rsid w:val="00F73016"/>
    <w:rsid w:val="00F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A0"/>
    <w:pPr>
      <w:spacing w:after="80" w:line="240" w:lineRule="auto"/>
      <w:jc w:val="both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0770"/>
    <w:pPr>
      <w:spacing w:before="100" w:beforeAutospacing="1" w:after="0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5E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1AA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A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56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A0"/>
    <w:pPr>
      <w:spacing w:after="80" w:line="240" w:lineRule="auto"/>
      <w:jc w:val="both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0770"/>
    <w:pPr>
      <w:spacing w:before="100" w:beforeAutospacing="1" w:after="0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5E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1AA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A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56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download/f/b6/31000/2015_84szu-m03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v.gov.hu/download/e/b6/31000/2015_84szu-m02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gov.hu/download/d/b6/31000/2015_84szu-m01.xlsx" TargetMode="External"/><Relationship Id="rId11" Type="http://schemas.openxmlformats.org/officeDocument/2006/relationships/hyperlink" Target="http://bv.gov.hu/download/2/c6/31000/2015_84szu-m06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v.gov.hu/download/1/c6/31000/2015_84szu-m05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download/0/c6/31000/2015_84szu-m04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E8A96DB0</Template>
  <TotalTime>5</TotalTime>
  <Pages>4</Pages>
  <Words>1085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menczer.peter</cp:lastModifiedBy>
  <cp:revision>4</cp:revision>
  <cp:lastPrinted>2015-11-24T07:53:00Z</cp:lastPrinted>
  <dcterms:created xsi:type="dcterms:W3CDTF">2015-12-03T06:06:00Z</dcterms:created>
  <dcterms:modified xsi:type="dcterms:W3CDTF">2015-12-03T06:11:00Z</dcterms:modified>
</cp:coreProperties>
</file>