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25" w:rsidRDefault="00E45525" w:rsidP="00E45525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Szolgálati viszony azzal az önként jelentkező, cselekvőképes, állandó belföldi lakóhellyel rendelkező magyar állampolgárral létesíthető,</w:t>
      </w:r>
    </w:p>
    <w:p w:rsidR="00E45525" w:rsidRDefault="00E45525" w:rsidP="00E45525">
      <w:pPr>
        <w:pStyle w:val="NormlWeb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a)</w:t>
      </w:r>
      <w:r>
        <w:rPr>
          <w:rFonts w:ascii="Times" w:hAnsi="Times" w:cs="Times"/>
        </w:rPr>
        <w:t xml:space="preserve"> aki a tizennyolcadik életévét betöltötte, és életkora – az e törvényben meghatározott kivételekkel – a hivatásos szolgálat rá irányadó felső korhatáránál legalább tíz évvel kevesebb,</w:t>
      </w:r>
    </w:p>
    <w:p w:rsidR="00E45525" w:rsidRDefault="00E45525" w:rsidP="00E45525">
      <w:pPr>
        <w:pStyle w:val="NormlWeb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b)</w:t>
      </w:r>
      <w:r>
        <w:rPr>
          <w:rFonts w:ascii="Times" w:hAnsi="Times" w:cs="Times"/>
        </w:rPr>
        <w:t xml:space="preserve"> aki rendelkezik a tervezett szolgálati beosztás besorolási osztálya szerint meghatározott iskolai végzettséggel és szolgálati viszonyra vonatkozó szabályban a szolgálati viszony létesítésének feltételeként meghatározott szakképzettséggel,</w:t>
      </w:r>
    </w:p>
    <w:p w:rsidR="00E45525" w:rsidRDefault="00E45525" w:rsidP="00E45525">
      <w:pPr>
        <w:pStyle w:val="NormlWeb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c)</w:t>
      </w:r>
      <w:r>
        <w:rPr>
          <w:rFonts w:ascii="Times" w:hAnsi="Times" w:cs="Times"/>
        </w:rPr>
        <w:t xml:space="preserve"> aki a hivatásos szolgálatra és a tervezett szolgálati beosztására egészségi, pszichikai és fizikai szempontból alkalmas,</w:t>
      </w:r>
    </w:p>
    <w:p w:rsidR="00E45525" w:rsidRDefault="00E45525" w:rsidP="00E45525">
      <w:pPr>
        <w:pStyle w:val="NormlWeb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d)</w:t>
      </w:r>
      <w:r>
        <w:rPr>
          <w:rFonts w:ascii="Times" w:hAnsi="Times" w:cs="Times"/>
        </w:rPr>
        <w:t xml:space="preserve"> akinek életvitele nem kifogásolható, és aki hozzájárul annak a szolgálati viszony létesítését megelőző, valamint a szolgálati viszony fennállása alatti ellenőrzéséhez,</w:t>
      </w:r>
    </w:p>
    <w:p w:rsidR="00E45525" w:rsidRDefault="00E45525" w:rsidP="00E45525">
      <w:pPr>
        <w:pStyle w:val="NormlWeb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e)</w:t>
      </w:r>
      <w:r>
        <w:rPr>
          <w:rFonts w:ascii="Times" w:hAnsi="Times" w:cs="Times"/>
        </w:rPr>
        <w:t xml:space="preserve"> aki elfogadja egyes alapvető jogainak e törvény szerinti korlátozását,</w:t>
      </w:r>
    </w:p>
    <w:p w:rsidR="00E45525" w:rsidRDefault="00E45525" w:rsidP="00E45525">
      <w:pPr>
        <w:pStyle w:val="NormlWeb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f)</w:t>
      </w:r>
      <w:r>
        <w:rPr>
          <w:rFonts w:ascii="Times" w:hAnsi="Times" w:cs="Times"/>
        </w:rPr>
        <w:t xml:space="preserve"> aki tudomásul veszi, hogy szolgálati viszonyának fennállása alatt szolgálata törvényes ellátását tudta és beleegyezése nélkül – a törvényben meghatározott esetekben és módon – a belső bűnmegelőzési és bűnfelderítési feladatokat ellátó szerv a Rendőrségről szóló törvény szerinti megbízhatósági vizsgálattal ellenőrizheti,</w:t>
      </w:r>
    </w:p>
    <w:p w:rsidR="00E45525" w:rsidRDefault="00E45525" w:rsidP="00E45525">
      <w:pPr>
        <w:pStyle w:val="NormlWeb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g)</w:t>
      </w:r>
      <w:r>
        <w:rPr>
          <w:rFonts w:ascii="Times" w:hAnsi="Times" w:cs="Times"/>
        </w:rPr>
        <w:t xml:space="preserve"> aki tudomásul veszi és elfogadja a hivatásos szolgálattal járó, szolgálati viszonyra vonatkozó szabályokban meghatározott kötelezettségeket és elvárásokat, valamint</w:t>
      </w:r>
    </w:p>
    <w:p w:rsidR="00E45525" w:rsidRDefault="00E45525" w:rsidP="00E45525">
      <w:pPr>
        <w:pStyle w:val="NormlWeb"/>
        <w:rPr>
          <w:rFonts w:ascii="Times" w:hAnsi="Times" w:cs="Times"/>
        </w:rPr>
      </w:pPr>
      <w:r>
        <w:rPr>
          <w:rFonts w:ascii="Times" w:hAnsi="Times" w:cs="Times"/>
          <w:i/>
          <w:iCs/>
        </w:rPr>
        <w:t>h)</w:t>
      </w:r>
      <w:r>
        <w:rPr>
          <w:rFonts w:ascii="Times" w:hAnsi="Times" w:cs="Times"/>
        </w:rPr>
        <w:t xml:space="preserve"> akinél nem állnak fenn a szolgálati viszony létesítését kizáró körülmények.</w:t>
      </w:r>
    </w:p>
    <w:p w:rsidR="00E45525" w:rsidRDefault="00E45525" w:rsidP="00E45525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(2) Nem létesíthető szolgálati viszony az (1) bekezdésben meghatározott feltételeknek megfelelő olyan személlyel, akinek tervezett szolgálati beosztása nemzetbiztonsági ellenőrzés alá eső szolgálati beosztásnak minősül, és a nemzetbiztonsági ellenőrzés során kiállított biztonsági szakvélemény szerint a biztonsági feltételeknek nem felel meg, kivéve, ha a nemzetbiztonsági ellenőrzés tárgykörét szabályozó törvény szerint arra feljogosított személy a nemzetbiztonsági ellenőrzés alá eső jogviszony létesítését jóváhagyta.</w:t>
      </w:r>
    </w:p>
    <w:p w:rsidR="00E45525" w:rsidRDefault="00E45525" w:rsidP="00E45525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(3) Ha a hivatásos állományba jelentkezővel szemben a nemzetbiztonsági ellenőrzés során nemzetbiztonsági kockázatot állapítottak meg, és a nemzetbiztonsági ellenőrzés alá eső jogviszony létesítését nem hagyta jóvá a nemzetbiztonsági ellenőrzés tárgykörét szabályozó törvény szerint arra feljogosított személy, a rendvédelmi szerv a hivatásos állományba jelentkező részére más, nemzetbiztonsági ellenőrzés alá nem eső szolgálati beosztást ajánlhat fel. Ha a rendvédelmi szerv nem ajánl fel másik szolgálati beosztást, vagy ha a hivatásos állományba jelentkező a neki felajánlott szolgálati beosztást nem fogadja el, szolgálati viszony nem létesíthető.</w:t>
      </w:r>
    </w:p>
    <w:p w:rsidR="00E45525" w:rsidRDefault="00E45525" w:rsidP="00E45525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(4) A (2) bekezdésben meghatározott esetben a nemzetbiztonsági ellenőrzéssel egyidejűleg a kifogástalan életvitel ellenőrzésére nem kerül sor. Ebben az esetben a hivatásos állományba jelentkező személy hatósági bizonyítvánnyal igazolja, hogy a szolgálati viszony létesítését kizáró körülmény nem áll fenn. A (3) bekezdésben meghatározott esetben a kifogástalan életvitel ellenőrzésének lefolytatására intézkedni kell, és csak akkor lehet a hivatásos állományba jelentkezővel szolgálati viszonyt létesíteni, ha a jelentkező életvitele az ellenőrzés alapján nem kifogásolható.</w:t>
      </w:r>
    </w:p>
    <w:p w:rsidR="00E45525" w:rsidRDefault="00E45525" w:rsidP="00E45525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(5) A szolgálati viszony létesítéséhez szükséges, az (1) bekezdésben meghatározott adatokat és tényeket a hivatásos állományba jelentkezőnek kell igazolnia eredeti okirattal vagy annak hiteles másolatával.</w:t>
      </w:r>
    </w:p>
    <w:p w:rsidR="00E45525" w:rsidRDefault="00E45525" w:rsidP="00E45525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(6) Ha a szolgálati viszony létesítésének feltétele a nemzetbiztonsági követelményeknek való megfelelés, a hivatásos szolgálatra jelentkezőnek a jelentkezéskor írásban hozzá kell járulnia ahhoz, hogy ezt az illetékes nemzetbiztonsági szolgálat ellenőrizze. Az ellenőrzéshez való hozzájáruláshoz a nemzetbiztonsági ellenőrzés tárgykörét szabályozó törvényben meghatározott hozzátartozó nyilatkozatát is csatolni kell.</w:t>
      </w:r>
    </w:p>
    <w:p w:rsidR="00E45525" w:rsidRDefault="00E45525" w:rsidP="00E45525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lastRenderedPageBreak/>
        <w:t>(7) A rendvédelmi szervnél szolgálati viszony létesítésekor tiszti besorolási osztályba tartozó szolgálati beosztásba az (1)–(6) bekezdésben meghatározott feltételek teljesülésekor is csak az a felsőfokú iskolai végzettséggel rendelkező személy nevezhető ki, aki államilag elismert nyelvvizsgával rendelkezik.</w:t>
      </w:r>
    </w:p>
    <w:p w:rsidR="00E45525" w:rsidRDefault="00E45525" w:rsidP="00E45525">
      <w:pPr>
        <w:pStyle w:val="NormlWeb"/>
        <w:rPr>
          <w:rFonts w:ascii="Times" w:hAnsi="Times" w:cs="Times"/>
        </w:rPr>
      </w:pPr>
      <w:r>
        <w:rPr>
          <w:rFonts w:ascii="Times" w:hAnsi="Times" w:cs="Times"/>
        </w:rPr>
        <w:t>(8) A rendvédelmi szerv az (1) és (6) bekezdésben meghatározott adatokat, valamint a feltételeknek való megfelelést a szolgálati viszony fennállása alatt ellenőrizheti vagy az ellenőrzését kezdeményezheti.</w:t>
      </w:r>
    </w:p>
    <w:p w:rsidR="00FC2768" w:rsidRDefault="00FC2768" w:rsidP="00E45525"/>
    <w:p w:rsidR="004213F1" w:rsidRPr="004213F1" w:rsidRDefault="004213F1" w:rsidP="004213F1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4213F1">
        <w:rPr>
          <w:rFonts w:ascii="Times" w:eastAsia="Times New Roman" w:hAnsi="Times" w:cs="Times"/>
          <w:sz w:val="24"/>
          <w:szCs w:val="24"/>
          <w:lang w:eastAsia="hu-HU"/>
        </w:rPr>
        <w:t>Nem létesíthető szolgálati viszony azzal,</w:t>
      </w:r>
    </w:p>
    <w:p w:rsidR="004213F1" w:rsidRPr="004213F1" w:rsidRDefault="004213F1" w:rsidP="004213F1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4213F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a)</w:t>
      </w:r>
      <w:r w:rsidRPr="004213F1">
        <w:rPr>
          <w:rFonts w:ascii="Times" w:eastAsia="Times New Roman" w:hAnsi="Times" w:cs="Times"/>
          <w:sz w:val="24"/>
          <w:szCs w:val="24"/>
          <w:lang w:eastAsia="hu-HU"/>
        </w:rPr>
        <w:t xml:space="preserve"> aki büntetett előéletű,</w:t>
      </w:r>
    </w:p>
    <w:p w:rsidR="004213F1" w:rsidRPr="004213F1" w:rsidRDefault="004213F1" w:rsidP="004213F1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4213F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b)</w:t>
      </w:r>
      <w:r w:rsidRPr="004213F1">
        <w:rPr>
          <w:rFonts w:ascii="Times" w:eastAsia="Times New Roman" w:hAnsi="Times" w:cs="Times"/>
          <w:sz w:val="24"/>
          <w:szCs w:val="24"/>
          <w:lang w:eastAsia="hu-HU"/>
        </w:rPr>
        <w:t xml:space="preserve"> aki a betöltendő szolgálati beosztásnak megfelelő foglalkozástól eltiltás hatálya alatt áll,</w:t>
      </w:r>
    </w:p>
    <w:p w:rsidR="004213F1" w:rsidRPr="004213F1" w:rsidRDefault="004213F1" w:rsidP="004213F1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4213F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c)</w:t>
      </w:r>
      <w:r w:rsidRPr="004213F1">
        <w:rPr>
          <w:rFonts w:ascii="Times" w:eastAsia="Times New Roman" w:hAnsi="Times" w:cs="Times"/>
          <w:sz w:val="24"/>
          <w:szCs w:val="24"/>
          <w:lang w:eastAsia="hu-HU"/>
        </w:rPr>
        <w:t xml:space="preserve"> aki büntetlen előéletű, de a bíróság bűncselekmény elkövetése miatt büntetőjogi felelősségét jogerős ítéletben megállapította,</w:t>
      </w:r>
    </w:p>
    <w:p w:rsidR="004213F1" w:rsidRPr="004213F1" w:rsidRDefault="004213F1" w:rsidP="004213F1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spellStart"/>
      <w:r w:rsidRPr="004213F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ca</w:t>
      </w:r>
      <w:proofErr w:type="spellEnd"/>
      <w:r w:rsidRPr="004213F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)</w:t>
      </w:r>
      <w:r w:rsidRPr="004213F1">
        <w:rPr>
          <w:rFonts w:ascii="Times" w:eastAsia="Times New Roman" w:hAnsi="Times" w:cs="Times"/>
          <w:sz w:val="24"/>
          <w:szCs w:val="24"/>
          <w:lang w:eastAsia="hu-HU"/>
        </w:rPr>
        <w:t xml:space="preserve"> szándékos bűncselekmény miatt kiszabott, ötévi vagy azt meghaladó végrehajtandó szabadságvesztés büntetés esetén a mentesítés beálltától számított tizenkét évig,</w:t>
      </w:r>
    </w:p>
    <w:p w:rsidR="004213F1" w:rsidRPr="004213F1" w:rsidRDefault="004213F1" w:rsidP="004213F1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spellStart"/>
      <w:r w:rsidRPr="004213F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cb</w:t>
      </w:r>
      <w:proofErr w:type="spellEnd"/>
      <w:r w:rsidRPr="004213F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)</w:t>
      </w:r>
      <w:r w:rsidRPr="004213F1">
        <w:rPr>
          <w:rFonts w:ascii="Times" w:eastAsia="Times New Roman" w:hAnsi="Times" w:cs="Times"/>
          <w:sz w:val="24"/>
          <w:szCs w:val="24"/>
          <w:lang w:eastAsia="hu-HU"/>
        </w:rPr>
        <w:t xml:space="preserve"> szándékos bűncselekmény miatt kiszabott, öt évet el nem érő végrehajtandó szabadságvesztés esetén a mentesítés beálltától számított tíz évig,</w:t>
      </w:r>
    </w:p>
    <w:p w:rsidR="004213F1" w:rsidRPr="004213F1" w:rsidRDefault="004213F1" w:rsidP="004213F1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spellStart"/>
      <w:r w:rsidRPr="004213F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cc</w:t>
      </w:r>
      <w:proofErr w:type="spellEnd"/>
      <w:r w:rsidRPr="004213F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)</w:t>
      </w:r>
      <w:r w:rsidRPr="004213F1">
        <w:rPr>
          <w:rFonts w:ascii="Times" w:eastAsia="Times New Roman" w:hAnsi="Times" w:cs="Times"/>
          <w:sz w:val="24"/>
          <w:szCs w:val="24"/>
          <w:lang w:eastAsia="hu-HU"/>
        </w:rPr>
        <w:t xml:space="preserve"> szándékos bűncselekmény miatt kiszabott, végrehajtásában felfüggesztett vagy részben felfüggesztett szabadságvesztés esetén a mentesítés beálltától számított nyolc évig,</w:t>
      </w:r>
    </w:p>
    <w:p w:rsidR="004213F1" w:rsidRPr="004213F1" w:rsidRDefault="004213F1" w:rsidP="004213F1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4213F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cd)</w:t>
      </w:r>
      <w:r w:rsidRPr="004213F1">
        <w:rPr>
          <w:rFonts w:ascii="Times" w:eastAsia="Times New Roman" w:hAnsi="Times" w:cs="Times"/>
          <w:sz w:val="24"/>
          <w:szCs w:val="24"/>
          <w:lang w:eastAsia="hu-HU"/>
        </w:rPr>
        <w:t xml:space="preserve"> szándékos bűncselekmény miatt kiszabott elzárás, közérdekű munka vagy pénzbüntetés esetén a mentesítés beálltától számított öt évig,</w:t>
      </w:r>
    </w:p>
    <w:p w:rsidR="004213F1" w:rsidRPr="004213F1" w:rsidRDefault="004213F1" w:rsidP="004213F1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spellStart"/>
      <w:r w:rsidRPr="004213F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ce</w:t>
      </w:r>
      <w:proofErr w:type="spellEnd"/>
      <w:r w:rsidRPr="004213F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)</w:t>
      </w:r>
      <w:r w:rsidRPr="004213F1">
        <w:rPr>
          <w:rFonts w:ascii="Times" w:eastAsia="Times New Roman" w:hAnsi="Times" w:cs="Times"/>
          <w:sz w:val="24"/>
          <w:szCs w:val="24"/>
          <w:lang w:eastAsia="hu-HU"/>
        </w:rPr>
        <w:t xml:space="preserve"> gondatlan bűncselekmény miatt kiszabott, végrehajtandó szabadságvesztés büntetés esetén a mentesítés beálltától számított nyolc évig,</w:t>
      </w:r>
    </w:p>
    <w:p w:rsidR="004213F1" w:rsidRPr="004213F1" w:rsidRDefault="004213F1" w:rsidP="004213F1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spellStart"/>
      <w:r w:rsidRPr="004213F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cf</w:t>
      </w:r>
      <w:proofErr w:type="spellEnd"/>
      <w:r w:rsidRPr="004213F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)</w:t>
      </w:r>
      <w:r w:rsidRPr="004213F1">
        <w:rPr>
          <w:rFonts w:ascii="Times" w:eastAsia="Times New Roman" w:hAnsi="Times" w:cs="Times"/>
          <w:sz w:val="24"/>
          <w:szCs w:val="24"/>
          <w:lang w:eastAsia="hu-HU"/>
        </w:rPr>
        <w:t xml:space="preserve"> gondatlan bűncselekmény miatt kiszabott, végrehajtásában felfüggesztett szabadságvesztés esetén a mentesítés beálltától számított öt évig,</w:t>
      </w:r>
    </w:p>
    <w:p w:rsidR="004213F1" w:rsidRPr="004213F1" w:rsidRDefault="004213F1" w:rsidP="004213F1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4213F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cg)</w:t>
      </w:r>
      <w:r w:rsidRPr="004213F1">
        <w:rPr>
          <w:rFonts w:ascii="Times" w:eastAsia="Times New Roman" w:hAnsi="Times" w:cs="Times"/>
          <w:sz w:val="24"/>
          <w:szCs w:val="24"/>
          <w:lang w:eastAsia="hu-HU"/>
        </w:rPr>
        <w:t xml:space="preserve"> gondatlan bűncselekmény miatt kiszabott elzárás, közérdekű munka vagy pénzbüntetés esetén a mentesítés beálltától számított három évig,</w:t>
      </w:r>
    </w:p>
    <w:p w:rsidR="004213F1" w:rsidRPr="004213F1" w:rsidRDefault="004213F1" w:rsidP="004213F1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4213F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d)</w:t>
      </w:r>
      <w:r w:rsidRPr="004213F1">
        <w:rPr>
          <w:rFonts w:ascii="Times" w:eastAsia="Times New Roman" w:hAnsi="Times" w:cs="Times"/>
          <w:sz w:val="24"/>
          <w:szCs w:val="24"/>
          <w:lang w:eastAsia="hu-HU"/>
        </w:rPr>
        <w:t xml:space="preserve"> akivel szemben a bíróság kényszergyógykezelést alkalmazott, a kényszergyógykezelést megszüntető végzés jogerőre emelkedésétől számított három évig,</w:t>
      </w:r>
    </w:p>
    <w:p w:rsidR="004213F1" w:rsidRPr="004213F1" w:rsidRDefault="004213F1" w:rsidP="004213F1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4213F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e)</w:t>
      </w:r>
      <w:r w:rsidRPr="004213F1">
        <w:rPr>
          <w:rFonts w:ascii="Times" w:eastAsia="Times New Roman" w:hAnsi="Times" w:cs="Times"/>
          <w:sz w:val="24"/>
          <w:szCs w:val="24"/>
          <w:lang w:eastAsia="hu-HU"/>
        </w:rPr>
        <w:t xml:space="preserve"> akivel szemben a bíróság próbára bocsátást alkalmazott, a próbaidő, annak meghosszabbítása esetén a meghosszabbított próbaidő elteltétől számított három évig,</w:t>
      </w:r>
    </w:p>
    <w:p w:rsidR="004213F1" w:rsidRPr="004213F1" w:rsidRDefault="004213F1" w:rsidP="004213F1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4213F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f)</w:t>
      </w:r>
      <w:r w:rsidRPr="004213F1">
        <w:rPr>
          <w:rFonts w:ascii="Times" w:eastAsia="Times New Roman" w:hAnsi="Times" w:cs="Times"/>
          <w:sz w:val="24"/>
          <w:szCs w:val="24"/>
          <w:lang w:eastAsia="hu-HU"/>
        </w:rPr>
        <w:t xml:space="preserve"> akivel szemben büntetőeljárás – ide nem értve a magánvádas vagy pótmagánvádló vádindítványa alapján indult eljárást – van folyamatban, a büntetőeljárás jogerős bejezéséig,</w:t>
      </w:r>
    </w:p>
    <w:p w:rsidR="004213F1" w:rsidRPr="004213F1" w:rsidRDefault="004213F1" w:rsidP="004213F1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4213F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g)</w:t>
      </w:r>
      <w:r w:rsidRPr="004213F1">
        <w:rPr>
          <w:rFonts w:ascii="Times" w:eastAsia="Times New Roman" w:hAnsi="Times" w:cs="Times"/>
          <w:sz w:val="24"/>
          <w:szCs w:val="24"/>
          <w:lang w:eastAsia="hu-HU"/>
        </w:rPr>
        <w:t xml:space="preserve"> aki korábban már állt szolgálati viszonyban és szolgálati viszonya a 80. § (1) bekezdés </w:t>
      </w:r>
      <w:r w:rsidRPr="004213F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f)</w:t>
      </w:r>
      <w:r w:rsidRPr="004213F1">
        <w:rPr>
          <w:rFonts w:ascii="Times" w:eastAsia="Times New Roman" w:hAnsi="Times" w:cs="Times"/>
          <w:sz w:val="24"/>
          <w:szCs w:val="24"/>
          <w:lang w:eastAsia="hu-HU"/>
        </w:rPr>
        <w:t xml:space="preserve"> vagy </w:t>
      </w:r>
      <w:r w:rsidRPr="004213F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g)</w:t>
      </w:r>
      <w:r w:rsidRPr="004213F1">
        <w:rPr>
          <w:rFonts w:ascii="Times" w:eastAsia="Times New Roman" w:hAnsi="Times" w:cs="Times"/>
          <w:sz w:val="24"/>
          <w:szCs w:val="24"/>
          <w:lang w:eastAsia="hu-HU"/>
        </w:rPr>
        <w:t xml:space="preserve"> pontja, vagy a 86. § (2) bekezdés </w:t>
      </w:r>
      <w:r w:rsidRPr="004213F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b)–d)</w:t>
      </w:r>
      <w:r w:rsidRPr="004213F1">
        <w:rPr>
          <w:rFonts w:ascii="Times" w:eastAsia="Times New Roman" w:hAnsi="Times" w:cs="Times"/>
          <w:sz w:val="24"/>
          <w:szCs w:val="24"/>
          <w:lang w:eastAsia="hu-HU"/>
        </w:rPr>
        <w:t xml:space="preserve"> pontja alapján szűnt meg, a szolgálati viszony megszűnését, továbbá – ha az később telik le – a büntetőjogi jogkövetkezmények megszűnését követő öt évig.</w:t>
      </w:r>
    </w:p>
    <w:p w:rsidR="004213F1" w:rsidRPr="004213F1" w:rsidRDefault="004213F1" w:rsidP="004213F1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4213F1">
        <w:rPr>
          <w:rFonts w:ascii="Times" w:eastAsia="Times New Roman" w:hAnsi="Times" w:cs="Times"/>
          <w:sz w:val="24"/>
          <w:szCs w:val="24"/>
          <w:lang w:eastAsia="hu-HU"/>
        </w:rPr>
        <w:t xml:space="preserve">(2) Az (1) bekezdés </w:t>
      </w:r>
      <w:r w:rsidRPr="004213F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c)</w:t>
      </w:r>
      <w:r w:rsidRPr="004213F1">
        <w:rPr>
          <w:rFonts w:ascii="Times" w:eastAsia="Times New Roman" w:hAnsi="Times" w:cs="Times"/>
          <w:sz w:val="24"/>
          <w:szCs w:val="24"/>
          <w:lang w:eastAsia="hu-HU"/>
        </w:rPr>
        <w:t xml:space="preserve"> pont </w:t>
      </w:r>
      <w:proofErr w:type="spellStart"/>
      <w:r w:rsidRPr="004213F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cc</w:t>
      </w:r>
      <w:proofErr w:type="spellEnd"/>
      <w:r w:rsidRPr="004213F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)–cg)</w:t>
      </w:r>
      <w:r w:rsidRPr="004213F1">
        <w:rPr>
          <w:rFonts w:ascii="Times" w:eastAsia="Times New Roman" w:hAnsi="Times" w:cs="Times"/>
          <w:sz w:val="24"/>
          <w:szCs w:val="24"/>
          <w:lang w:eastAsia="hu-HU"/>
        </w:rPr>
        <w:t xml:space="preserve"> alpontjában és az (1) bekezdés </w:t>
      </w:r>
      <w:r w:rsidRPr="004213F1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e)</w:t>
      </w:r>
      <w:r w:rsidRPr="004213F1">
        <w:rPr>
          <w:rFonts w:ascii="Times" w:eastAsia="Times New Roman" w:hAnsi="Times" w:cs="Times"/>
          <w:sz w:val="24"/>
          <w:szCs w:val="24"/>
          <w:lang w:eastAsia="hu-HU"/>
        </w:rPr>
        <w:t xml:space="preserve"> pontjában foglalt kizáró októl az állományilletékes parancsnok eltekinthet, ha a mentesítés már bekövetkezett.</w:t>
      </w:r>
    </w:p>
    <w:p w:rsidR="004213F1" w:rsidRPr="00E45525" w:rsidRDefault="004213F1" w:rsidP="00E45525">
      <w:bookmarkStart w:id="0" w:name="_GoBack"/>
      <w:bookmarkEnd w:id="0"/>
    </w:p>
    <w:sectPr w:rsidR="004213F1" w:rsidRPr="00E4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6BBE"/>
    <w:multiLevelType w:val="hybridMultilevel"/>
    <w:tmpl w:val="9E06D218"/>
    <w:lvl w:ilvl="0" w:tplc="288605B0"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>
    <w:nsid w:val="2F3139D5"/>
    <w:multiLevelType w:val="hybridMultilevel"/>
    <w:tmpl w:val="49747DC8"/>
    <w:lvl w:ilvl="0" w:tplc="886C217E">
      <w:numFmt w:val="bullet"/>
      <w:lvlText w:val="-"/>
      <w:lvlJc w:val="left"/>
      <w:pPr>
        <w:ind w:left="49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>
    <w:nsid w:val="49975EC9"/>
    <w:multiLevelType w:val="hybridMultilevel"/>
    <w:tmpl w:val="9192F1BE"/>
    <w:lvl w:ilvl="0" w:tplc="FC2A7A56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>
    <w:nsid w:val="57953063"/>
    <w:multiLevelType w:val="hybridMultilevel"/>
    <w:tmpl w:val="1F66CFC0"/>
    <w:lvl w:ilvl="0" w:tplc="886C21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444FD"/>
    <w:multiLevelType w:val="hybridMultilevel"/>
    <w:tmpl w:val="1E96C10A"/>
    <w:lvl w:ilvl="0" w:tplc="2116C6E0">
      <w:numFmt w:val="bullet"/>
      <w:lvlText w:val="-"/>
      <w:lvlJc w:val="left"/>
      <w:pPr>
        <w:ind w:left="460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7A"/>
    <w:rsid w:val="004213F1"/>
    <w:rsid w:val="00577EEE"/>
    <w:rsid w:val="00943E7A"/>
    <w:rsid w:val="009927F4"/>
    <w:rsid w:val="00AD0E2C"/>
    <w:rsid w:val="00E45525"/>
    <w:rsid w:val="00F56D60"/>
    <w:rsid w:val="00F93CA7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7EEE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45525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7EEE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45525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848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takacs.robert</dc:creator>
  <cp:lastModifiedBy>takacs.robert</cp:lastModifiedBy>
  <cp:revision>4</cp:revision>
  <dcterms:created xsi:type="dcterms:W3CDTF">2014-06-12T08:07:00Z</dcterms:created>
  <dcterms:modified xsi:type="dcterms:W3CDTF">2018-02-15T08:05:00Z</dcterms:modified>
</cp:coreProperties>
</file>