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31" w:rsidRDefault="00C47B31" w:rsidP="00C47B31">
      <w:pPr>
        <w:pStyle w:val="NormlWeb"/>
        <w:pBdr>
          <w:bottom w:val="single" w:sz="8" w:space="1" w:color="000000"/>
        </w:pBdr>
        <w:shd w:val="clear" w:color="auto" w:fill="E6E6E6"/>
        <w:spacing w:after="284" w:afterAutospacing="0"/>
        <w:jc w:val="both"/>
      </w:pPr>
      <w:r>
        <w:rPr>
          <w:rFonts w:ascii="Arial" w:hAnsi="Arial" w:cs="Arial"/>
          <w:b/>
          <w:bCs/>
          <w:sz w:val="20"/>
          <w:szCs w:val="20"/>
        </w:rPr>
        <w:t>EGYSÉGES SZERKEZETBEN</w:t>
      </w:r>
      <w:r>
        <w:t xml:space="preserve"> </w:t>
      </w:r>
    </w:p>
    <w:p w:rsidR="006C524F" w:rsidRDefault="006C524F" w:rsidP="006C524F">
      <w:pPr>
        <w:pStyle w:val="NormlWeb"/>
        <w:spacing w:after="284" w:afterAutospacing="0"/>
        <w:jc w:val="center"/>
      </w:pPr>
      <w:r>
        <w:rPr>
          <w:b/>
          <w:bCs/>
        </w:rPr>
        <w:t>A büntetés-végrehajtás országos parancsnokának</w:t>
      </w:r>
      <w:r>
        <w:rPr>
          <w:b/>
          <w:bCs/>
        </w:rPr>
        <w:br/>
        <w:t>11/2015. (I.23) OP</w:t>
      </w:r>
    </w:p>
    <w:p w:rsidR="006C524F" w:rsidRDefault="006C524F" w:rsidP="006C524F">
      <w:pPr>
        <w:pStyle w:val="NormlWeb"/>
        <w:spacing w:after="284" w:afterAutospacing="0"/>
        <w:jc w:val="center"/>
      </w:pPr>
      <w:r>
        <w:rPr>
          <w:b/>
          <w:bCs/>
          <w:i/>
          <w:iCs/>
        </w:rPr>
        <w:t>s z a k u t a s í t á s a</w:t>
      </w:r>
    </w:p>
    <w:p w:rsidR="006C524F" w:rsidRDefault="006C524F" w:rsidP="006C524F">
      <w:pPr>
        <w:pStyle w:val="NormlWeb"/>
        <w:spacing w:after="284" w:afterAutospacing="0"/>
        <w:jc w:val="center"/>
      </w:pPr>
      <w:r>
        <w:rPr>
          <w:b/>
          <w:bCs/>
          <w:i/>
          <w:iCs/>
        </w:rPr>
        <w:t>az Igazságügyi Megfigyelő és Elmegyógyító Intézet</w:t>
      </w:r>
      <w:r>
        <w:rPr>
          <w:b/>
          <w:bCs/>
          <w:i/>
          <w:iCs/>
        </w:rPr>
        <w:br/>
        <w:t>járóbeteg-szakellátásának igénybevételéről, a beutalás rendjéről</w:t>
      </w:r>
    </w:p>
    <w:p w:rsidR="006C524F" w:rsidRDefault="006C524F" w:rsidP="006C524F">
      <w:pPr>
        <w:pStyle w:val="NormlWeb"/>
        <w:spacing w:after="284" w:afterAutospacing="0"/>
        <w:jc w:val="both"/>
      </w:pPr>
      <w:r>
        <w:t>A büntetés-végrehajtási szervezet belső szabályozási tevékenységéről szóló 2/2013. (IX.13.) BVOP utasítás 7. pontja alapján - figyelemmel a kényszergyógykezelés és az ideiglenes kényszergyógykezelés végrehajtásáról, valamint az Igazságügyi Megfigyelő és Elmegyógyító Intézet feladatiról szóló 13/2014. (XII. 16) IM rendelet 2 §. (2) bekezdésére - az alábbi szakutasítást adom ki.</w:t>
      </w:r>
    </w:p>
    <w:p w:rsidR="006C524F" w:rsidRDefault="006C524F" w:rsidP="006C524F">
      <w:pPr>
        <w:pStyle w:val="NormlWeb"/>
        <w:spacing w:after="284" w:afterAutospacing="0"/>
        <w:ind w:left="567" w:hanging="284"/>
        <w:jc w:val="both"/>
      </w:pPr>
      <w:r>
        <w:t>1.  A szakutasítás hatálya a büntetés-végrehajtási intézetekre terjed ki.</w:t>
      </w:r>
    </w:p>
    <w:p w:rsidR="006C524F" w:rsidRDefault="006C524F" w:rsidP="006C524F">
      <w:pPr>
        <w:pStyle w:val="NormlWeb"/>
        <w:spacing w:after="284" w:afterAutospacing="0"/>
        <w:ind w:left="567" w:hanging="284"/>
        <w:jc w:val="both"/>
      </w:pPr>
      <w:r>
        <w:t xml:space="preserve">2.  Az Igazságügyi Megfigyelő és Elmegyógyító Intézet (továbbiakban: IMEI) a működési engedélyében foglaltak szerint speciális járóbeteg-szakellátást nyújt (ambuláns szakrendelés keretében) pszichiátria, általános neurológia, pszichiátriai gondozás, </w:t>
      </w:r>
      <w:proofErr w:type="spellStart"/>
      <w:r>
        <w:t>addiktológia</w:t>
      </w:r>
      <w:proofErr w:type="spellEnd"/>
      <w:r>
        <w:t xml:space="preserve"> szakmákban, amelynek során elvégzi a büntetés-végrehajtási intézetekből beutalt fogvatartottak (a továbbiakban: beutaltak) ideggyógyászati, elmegyógyászati szakorvosi vizsgálatát, a pszichiátriai betegek gondozását, a személyiségzavarban szenvedők komplex diagnosztikai kivizsgálását, valamint a kábítószer fogyasztással összefüggésben felmerülő szakfeladatokat.</w:t>
      </w:r>
    </w:p>
    <w:p w:rsidR="006C524F" w:rsidRDefault="006C524F" w:rsidP="006C524F">
      <w:pPr>
        <w:pStyle w:val="NormlWeb"/>
        <w:spacing w:after="284" w:afterAutospacing="0"/>
        <w:ind w:left="567" w:hanging="284"/>
        <w:jc w:val="both"/>
      </w:pPr>
      <w:r>
        <w:t>3.  A szakrendelésre beutaltakat hetente, az országos körszállítással, illetve a budapesti intézetekben elhelyezetteket csütörtökön kell előállítani. A szakrendelés a visszaszállítások végrehajtása érdekében 8 órától 13 óráig tart.</w:t>
      </w:r>
    </w:p>
    <w:p w:rsidR="006C524F" w:rsidRDefault="006C524F" w:rsidP="006C524F">
      <w:pPr>
        <w:pStyle w:val="NormlWeb"/>
        <w:spacing w:after="284" w:afterAutospacing="0"/>
        <w:ind w:left="567" w:hanging="284"/>
        <w:jc w:val="both"/>
      </w:pPr>
      <w:r>
        <w:t>4.  A szakrendelések 3. pontban meghatározott időtartama alatt - a szakmai színvonal megtartása érdekében - kizárólag az előjegyzett, orvosi beutalóval rendelkező betegek (maximum 50 fő) vizsgálata végezhető el.</w:t>
      </w:r>
    </w:p>
    <w:p w:rsidR="006C524F" w:rsidRDefault="006C524F" w:rsidP="00C47B31">
      <w:pPr>
        <w:pStyle w:val="NormlWeb"/>
        <w:shd w:val="clear" w:color="auto" w:fill="EAEAEA"/>
        <w:spacing w:after="284" w:afterAutospacing="0"/>
        <w:ind w:left="567" w:hanging="284"/>
        <w:jc w:val="both"/>
      </w:pPr>
      <w:r>
        <w:t>5.  </w:t>
      </w:r>
      <w:r w:rsidR="00C47B31" w:rsidRPr="00C47B31">
        <w:t>A beutaltak előjegyzését munkanapokon, 9-14 óra között az IMEI ambulanciáján telefon vagy elektronikus levél útján kell kezdeményezni. Az előjegyzést kérelmező büntetés-végrehajtási intézet számára az ambulanciáért felelős szakápoló 2 munkanapon belül előjegyzési időpontot biztosít</w:t>
      </w:r>
      <w:r w:rsidR="00C47B31">
        <w:t>.</w:t>
      </w:r>
    </w:p>
    <w:p w:rsidR="00C47B31" w:rsidRDefault="00C47B31" w:rsidP="00C47B31">
      <w:pPr>
        <w:pStyle w:val="NormlWeb"/>
        <w:jc w:val="right"/>
      </w:pPr>
      <w:bookmarkStart w:id="0" w:name="_GoBack"/>
      <w:bookmarkEnd w:id="0"/>
      <w:r>
        <w:rPr>
          <w:i/>
          <w:iCs/>
          <w:sz w:val="20"/>
          <w:szCs w:val="20"/>
        </w:rPr>
        <w:t xml:space="preserve">Módosította: </w:t>
      </w:r>
      <w:r>
        <w:rPr>
          <w:i/>
          <w:iCs/>
          <w:sz w:val="20"/>
          <w:szCs w:val="20"/>
        </w:rPr>
        <w:t>10</w:t>
      </w:r>
      <w:r>
        <w:rPr>
          <w:i/>
          <w:iCs/>
          <w:sz w:val="20"/>
          <w:szCs w:val="20"/>
        </w:rPr>
        <w:t>/201</w:t>
      </w:r>
      <w:r>
        <w:rPr>
          <w:i/>
          <w:iCs/>
          <w:sz w:val="20"/>
          <w:szCs w:val="20"/>
        </w:rPr>
        <w:t>7</w:t>
      </w:r>
      <w:r>
        <w:rPr>
          <w:i/>
          <w:iCs/>
          <w:sz w:val="20"/>
          <w:szCs w:val="20"/>
        </w:rPr>
        <w:t xml:space="preserve"> OP szakutasítás, 201</w:t>
      </w:r>
      <w:r>
        <w:rPr>
          <w:i/>
          <w:iCs/>
          <w:sz w:val="20"/>
          <w:szCs w:val="20"/>
        </w:rPr>
        <w:t>7</w:t>
      </w:r>
      <w:r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01</w:t>
      </w:r>
      <w:r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31</w:t>
      </w:r>
      <w:r>
        <w:rPr>
          <w:i/>
          <w:iCs/>
          <w:sz w:val="20"/>
          <w:szCs w:val="20"/>
        </w:rPr>
        <w:t>.</w:t>
      </w:r>
    </w:p>
    <w:p w:rsidR="00C47B31" w:rsidRDefault="006C524F" w:rsidP="006C524F">
      <w:pPr>
        <w:pStyle w:val="NormlWeb"/>
        <w:spacing w:after="284" w:afterAutospacing="0"/>
        <w:ind w:left="567" w:hanging="284"/>
        <w:jc w:val="both"/>
      </w:pPr>
      <w:r>
        <w:t>6.  Az orvosi beutalón fel kell tüntetni a beutalt személyes adatait, a TAJ és naplósorszámot, a feltételezett diagnózist (BNO), továbbá a beutalást indokoló tüneteket, észleléseket. A beutalóhoz csatolni kell a rendelkezésre álló szakorvosi véleményeket, az elvégzett vizsgálatok leleteit.</w:t>
      </w:r>
    </w:p>
    <w:p w:rsidR="00C47B31" w:rsidRDefault="00C47B31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6C524F" w:rsidRDefault="006C524F" w:rsidP="006C524F">
      <w:pPr>
        <w:pStyle w:val="NormlWeb"/>
        <w:spacing w:after="284" w:afterAutospacing="0"/>
        <w:ind w:left="567" w:hanging="284"/>
        <w:jc w:val="both"/>
      </w:pPr>
    </w:p>
    <w:p w:rsidR="006C524F" w:rsidRDefault="006C524F" w:rsidP="006C524F">
      <w:pPr>
        <w:pStyle w:val="NormlWeb"/>
        <w:spacing w:after="284" w:afterAutospacing="0"/>
        <w:ind w:left="567" w:hanging="284"/>
        <w:jc w:val="both"/>
      </w:pPr>
      <w:r>
        <w:t xml:space="preserve">7.  Pszichiátriai és </w:t>
      </w:r>
      <w:proofErr w:type="spellStart"/>
      <w:r>
        <w:t>addiktológiai</w:t>
      </w:r>
      <w:proofErr w:type="spellEnd"/>
      <w:r>
        <w:t xml:space="preserve"> gondozás, neurológiai szakorvosi kontrollvizsgálat érdekében az IMEI szakorvosa a beutaltat indokolt esetben visszarendeli. A visszarendelési időpont csak elháríthatatlan akadály esetén módosítható, melyről értesíteni kell az </w:t>
      </w:r>
      <w:proofErr w:type="spellStart"/>
      <w:r>
        <w:t>IMEI-t</w:t>
      </w:r>
      <w:proofErr w:type="spellEnd"/>
      <w:r>
        <w:t>, az újabb előjegyzés kezdeményezésével.</w:t>
      </w:r>
    </w:p>
    <w:p w:rsidR="006C524F" w:rsidRDefault="006C524F" w:rsidP="006C524F">
      <w:pPr>
        <w:pStyle w:val="NormlWeb"/>
        <w:spacing w:after="284" w:afterAutospacing="0"/>
        <w:ind w:left="567" w:hanging="284"/>
        <w:jc w:val="both"/>
      </w:pPr>
      <w:r>
        <w:t>8.  A járóbeteg-szakellátásra, előjegyzés alapján érkező beutaltat a szakorvos indokolt esetben a megfelelő fekvő betegellátó osztályra irányítja tovább.</w:t>
      </w:r>
    </w:p>
    <w:p w:rsidR="006C524F" w:rsidRDefault="006C524F" w:rsidP="006C524F">
      <w:pPr>
        <w:pStyle w:val="NormlWeb"/>
        <w:spacing w:after="284" w:afterAutospacing="0"/>
        <w:ind w:left="567" w:hanging="284"/>
        <w:jc w:val="both"/>
      </w:pPr>
      <w:r>
        <w:t xml:space="preserve">9.  A sürgősségi beutalásra a területileg illetékes szakellátó hely közreműködését követően kerülhet sor, az 6. pontban meghatározottak szerint kiállított orvosi beutalóval. A beutalásról az </w:t>
      </w:r>
      <w:proofErr w:type="spellStart"/>
      <w:r>
        <w:t>IMEI-t</w:t>
      </w:r>
      <w:proofErr w:type="spellEnd"/>
      <w:r>
        <w:t xml:space="preserve"> előzetesen tájékoztatni kell.</w:t>
      </w:r>
    </w:p>
    <w:p w:rsidR="006C524F" w:rsidRDefault="006C524F" w:rsidP="006C524F">
      <w:pPr>
        <w:pStyle w:val="NormlWeb"/>
        <w:spacing w:after="284" w:afterAutospacing="0"/>
        <w:ind w:left="567" w:hanging="284"/>
        <w:jc w:val="both"/>
      </w:pPr>
      <w:r>
        <w:t>10. Jelen szakutasítás a kiadás napján lép hatályba azzal, hogy rendelkezésit 2015. január 1-től alkalmazni kell.</w:t>
      </w:r>
    </w:p>
    <w:p w:rsidR="006C524F" w:rsidRDefault="006C524F" w:rsidP="006C524F">
      <w:pPr>
        <w:pStyle w:val="NormlWeb"/>
        <w:spacing w:after="284" w:afterAutospacing="0"/>
        <w:ind w:left="567" w:hanging="284"/>
        <w:jc w:val="both"/>
      </w:pPr>
      <w:r>
        <w:t xml:space="preserve">11. Hatályát veszti az Igazságügyi Megfigyelő és Elmegyógyító Intézet járóbeteg-szakellátásának igénybevételéről, a beutalás rendjéről szóló 1-1/57/2008. (IK </w:t>
      </w:r>
      <w:proofErr w:type="spellStart"/>
      <w:r>
        <w:t>Bv</w:t>
      </w:r>
      <w:proofErr w:type="spellEnd"/>
      <w:r>
        <w:t>. Mell. 7.) OP intézkedés.</w:t>
      </w:r>
    </w:p>
    <w:p w:rsidR="006C524F" w:rsidRDefault="006C524F" w:rsidP="006C524F">
      <w:pPr>
        <w:pStyle w:val="NormlWeb"/>
        <w:spacing w:after="284" w:afterAutospacing="0"/>
        <w:ind w:left="567" w:hanging="284"/>
        <w:jc w:val="both"/>
      </w:pPr>
      <w:r>
        <w:t>12. A szakutasítás tartalmát az érintett személyi állománynak oktatni kell.</w:t>
      </w:r>
    </w:p>
    <w:p w:rsidR="006C524F" w:rsidRDefault="006C524F" w:rsidP="006C524F">
      <w:pPr>
        <w:pStyle w:val="NormlWeb"/>
        <w:spacing w:after="284" w:afterAutospacing="0"/>
        <w:ind w:left="567" w:hanging="284"/>
        <w:jc w:val="right"/>
      </w:pPr>
      <w:r>
        <w:rPr>
          <w:b/>
          <w:bCs/>
        </w:rPr>
        <w:t xml:space="preserve">Csóti András </w:t>
      </w:r>
      <w:proofErr w:type="spellStart"/>
      <w:r>
        <w:rPr>
          <w:b/>
          <w:bCs/>
        </w:rPr>
        <w:t>bv.vezérőrnagy</w:t>
      </w:r>
      <w:proofErr w:type="spellEnd"/>
      <w:r>
        <w:rPr>
          <w:b/>
          <w:bCs/>
        </w:rPr>
        <w:br/>
      </w:r>
      <w:r>
        <w:rPr>
          <w:sz w:val="20"/>
          <w:szCs w:val="20"/>
        </w:rPr>
        <w:t>országos parancsnok</w:t>
      </w:r>
    </w:p>
    <w:p w:rsidR="00EE3043" w:rsidRPr="006C524F" w:rsidRDefault="00EE3043" w:rsidP="006C524F">
      <w:pPr>
        <w:jc w:val="both"/>
      </w:pPr>
    </w:p>
    <w:sectPr w:rsidR="00EE3043" w:rsidRPr="006C524F" w:rsidSect="009B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FDF"/>
    <w:multiLevelType w:val="multilevel"/>
    <w:tmpl w:val="B9AA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D5FA4"/>
    <w:multiLevelType w:val="multilevel"/>
    <w:tmpl w:val="A1C81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E1BDF"/>
    <w:multiLevelType w:val="multilevel"/>
    <w:tmpl w:val="FC0C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F328D"/>
    <w:multiLevelType w:val="multilevel"/>
    <w:tmpl w:val="2F04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E5ED2"/>
    <w:multiLevelType w:val="multilevel"/>
    <w:tmpl w:val="F0E4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6C6231"/>
    <w:multiLevelType w:val="multilevel"/>
    <w:tmpl w:val="56FA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E3F24"/>
    <w:multiLevelType w:val="multilevel"/>
    <w:tmpl w:val="0D827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C068A"/>
    <w:multiLevelType w:val="multilevel"/>
    <w:tmpl w:val="0536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9C258C"/>
    <w:multiLevelType w:val="multilevel"/>
    <w:tmpl w:val="441A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C0010"/>
    <w:multiLevelType w:val="multilevel"/>
    <w:tmpl w:val="10FC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3D3771"/>
    <w:multiLevelType w:val="multilevel"/>
    <w:tmpl w:val="707C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61153D"/>
    <w:multiLevelType w:val="multilevel"/>
    <w:tmpl w:val="F6CE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A543D3"/>
    <w:multiLevelType w:val="multilevel"/>
    <w:tmpl w:val="861A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D62A25"/>
    <w:multiLevelType w:val="multilevel"/>
    <w:tmpl w:val="FDCE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6A3DA5"/>
    <w:multiLevelType w:val="multilevel"/>
    <w:tmpl w:val="3048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9E09F7"/>
    <w:multiLevelType w:val="multilevel"/>
    <w:tmpl w:val="F81C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3159A1"/>
    <w:multiLevelType w:val="multilevel"/>
    <w:tmpl w:val="84BE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8D26F9"/>
    <w:multiLevelType w:val="multilevel"/>
    <w:tmpl w:val="8B30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6332C7"/>
    <w:multiLevelType w:val="multilevel"/>
    <w:tmpl w:val="9650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157356"/>
    <w:multiLevelType w:val="multilevel"/>
    <w:tmpl w:val="123E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F40F9"/>
    <w:multiLevelType w:val="multilevel"/>
    <w:tmpl w:val="CA8C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8A2B59"/>
    <w:multiLevelType w:val="multilevel"/>
    <w:tmpl w:val="751E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A815D3"/>
    <w:multiLevelType w:val="multilevel"/>
    <w:tmpl w:val="DFA8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CF5266"/>
    <w:multiLevelType w:val="multilevel"/>
    <w:tmpl w:val="CDCC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B37AC3"/>
    <w:multiLevelType w:val="multilevel"/>
    <w:tmpl w:val="A632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A66198"/>
    <w:multiLevelType w:val="multilevel"/>
    <w:tmpl w:val="A448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3C36AD"/>
    <w:multiLevelType w:val="multilevel"/>
    <w:tmpl w:val="7A0E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C8229B"/>
    <w:multiLevelType w:val="multilevel"/>
    <w:tmpl w:val="9124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2A769F"/>
    <w:multiLevelType w:val="multilevel"/>
    <w:tmpl w:val="0BB6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B6351E"/>
    <w:multiLevelType w:val="multilevel"/>
    <w:tmpl w:val="1BBA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8A79B9"/>
    <w:multiLevelType w:val="multilevel"/>
    <w:tmpl w:val="FB1C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230E95"/>
    <w:multiLevelType w:val="multilevel"/>
    <w:tmpl w:val="2DBE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0D440E"/>
    <w:multiLevelType w:val="hybridMultilevel"/>
    <w:tmpl w:val="0552672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118597C"/>
    <w:multiLevelType w:val="multilevel"/>
    <w:tmpl w:val="8398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9F05A8"/>
    <w:multiLevelType w:val="multilevel"/>
    <w:tmpl w:val="435A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3C0C68"/>
    <w:multiLevelType w:val="multilevel"/>
    <w:tmpl w:val="3212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9A07DB"/>
    <w:multiLevelType w:val="multilevel"/>
    <w:tmpl w:val="1EBE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B6106D"/>
    <w:multiLevelType w:val="multilevel"/>
    <w:tmpl w:val="A948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312D70"/>
    <w:multiLevelType w:val="multilevel"/>
    <w:tmpl w:val="C1FE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4B122C"/>
    <w:multiLevelType w:val="multilevel"/>
    <w:tmpl w:val="B4F6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362B5E"/>
    <w:multiLevelType w:val="multilevel"/>
    <w:tmpl w:val="EA76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827544"/>
    <w:multiLevelType w:val="multilevel"/>
    <w:tmpl w:val="819E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932BC6"/>
    <w:multiLevelType w:val="multilevel"/>
    <w:tmpl w:val="EE6EB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4C1447"/>
    <w:multiLevelType w:val="multilevel"/>
    <w:tmpl w:val="2AE61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933AB4"/>
    <w:multiLevelType w:val="multilevel"/>
    <w:tmpl w:val="7390B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91698E"/>
    <w:multiLevelType w:val="multilevel"/>
    <w:tmpl w:val="6204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A949A3"/>
    <w:multiLevelType w:val="multilevel"/>
    <w:tmpl w:val="49D2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32"/>
  </w:num>
  <w:num w:numId="3">
    <w:abstractNumId w:val="37"/>
  </w:num>
  <w:num w:numId="4">
    <w:abstractNumId w:val="6"/>
  </w:num>
  <w:num w:numId="5">
    <w:abstractNumId w:val="44"/>
  </w:num>
  <w:num w:numId="6">
    <w:abstractNumId w:val="9"/>
  </w:num>
  <w:num w:numId="7">
    <w:abstractNumId w:val="11"/>
  </w:num>
  <w:num w:numId="8">
    <w:abstractNumId w:val="16"/>
  </w:num>
  <w:num w:numId="9">
    <w:abstractNumId w:val="2"/>
  </w:num>
  <w:num w:numId="10">
    <w:abstractNumId w:val="43"/>
  </w:num>
  <w:num w:numId="11">
    <w:abstractNumId w:val="18"/>
  </w:num>
  <w:num w:numId="12">
    <w:abstractNumId w:val="45"/>
  </w:num>
  <w:num w:numId="13">
    <w:abstractNumId w:val="23"/>
  </w:num>
  <w:num w:numId="14">
    <w:abstractNumId w:val="33"/>
  </w:num>
  <w:num w:numId="15">
    <w:abstractNumId w:val="15"/>
  </w:num>
  <w:num w:numId="16">
    <w:abstractNumId w:val="36"/>
  </w:num>
  <w:num w:numId="17">
    <w:abstractNumId w:val="34"/>
  </w:num>
  <w:num w:numId="18">
    <w:abstractNumId w:val="38"/>
  </w:num>
  <w:num w:numId="19">
    <w:abstractNumId w:val="0"/>
  </w:num>
  <w:num w:numId="20">
    <w:abstractNumId w:val="8"/>
  </w:num>
  <w:num w:numId="21">
    <w:abstractNumId w:val="29"/>
  </w:num>
  <w:num w:numId="22">
    <w:abstractNumId w:val="22"/>
  </w:num>
  <w:num w:numId="23">
    <w:abstractNumId w:val="21"/>
  </w:num>
  <w:num w:numId="24">
    <w:abstractNumId w:val="1"/>
  </w:num>
  <w:num w:numId="25">
    <w:abstractNumId w:val="27"/>
  </w:num>
  <w:num w:numId="26">
    <w:abstractNumId w:val="7"/>
  </w:num>
  <w:num w:numId="27">
    <w:abstractNumId w:val="3"/>
  </w:num>
  <w:num w:numId="28">
    <w:abstractNumId w:val="13"/>
  </w:num>
  <w:num w:numId="29">
    <w:abstractNumId w:val="4"/>
  </w:num>
  <w:num w:numId="30">
    <w:abstractNumId w:val="14"/>
  </w:num>
  <w:num w:numId="31">
    <w:abstractNumId w:val="30"/>
  </w:num>
  <w:num w:numId="32">
    <w:abstractNumId w:val="25"/>
  </w:num>
  <w:num w:numId="33">
    <w:abstractNumId w:val="19"/>
  </w:num>
  <w:num w:numId="34">
    <w:abstractNumId w:val="5"/>
  </w:num>
  <w:num w:numId="35">
    <w:abstractNumId w:val="28"/>
  </w:num>
  <w:num w:numId="36">
    <w:abstractNumId w:val="39"/>
  </w:num>
  <w:num w:numId="37">
    <w:abstractNumId w:val="20"/>
  </w:num>
  <w:num w:numId="38">
    <w:abstractNumId w:val="26"/>
  </w:num>
  <w:num w:numId="39">
    <w:abstractNumId w:val="40"/>
  </w:num>
  <w:num w:numId="40">
    <w:abstractNumId w:val="10"/>
  </w:num>
  <w:num w:numId="41">
    <w:abstractNumId w:val="24"/>
  </w:num>
  <w:num w:numId="42">
    <w:abstractNumId w:val="12"/>
  </w:num>
  <w:num w:numId="43">
    <w:abstractNumId w:val="31"/>
  </w:num>
  <w:num w:numId="44">
    <w:abstractNumId w:val="46"/>
  </w:num>
  <w:num w:numId="45">
    <w:abstractNumId w:val="42"/>
  </w:num>
  <w:num w:numId="46">
    <w:abstractNumId w:val="17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1A"/>
    <w:rsid w:val="00000278"/>
    <w:rsid w:val="0000251A"/>
    <w:rsid w:val="00035A7D"/>
    <w:rsid w:val="00091747"/>
    <w:rsid w:val="000C4548"/>
    <w:rsid w:val="00151DC4"/>
    <w:rsid w:val="00166D5B"/>
    <w:rsid w:val="00170534"/>
    <w:rsid w:val="0017206C"/>
    <w:rsid w:val="00193C54"/>
    <w:rsid w:val="001A35F9"/>
    <w:rsid w:val="00253513"/>
    <w:rsid w:val="002577CC"/>
    <w:rsid w:val="002A1D3D"/>
    <w:rsid w:val="002D5DE1"/>
    <w:rsid w:val="00323B66"/>
    <w:rsid w:val="00354C21"/>
    <w:rsid w:val="00365FFF"/>
    <w:rsid w:val="00367603"/>
    <w:rsid w:val="003C77DD"/>
    <w:rsid w:val="00443104"/>
    <w:rsid w:val="004555C7"/>
    <w:rsid w:val="0047259B"/>
    <w:rsid w:val="004915EA"/>
    <w:rsid w:val="004F2030"/>
    <w:rsid w:val="005053C3"/>
    <w:rsid w:val="00526DF2"/>
    <w:rsid w:val="005E3E63"/>
    <w:rsid w:val="00654CAB"/>
    <w:rsid w:val="00671737"/>
    <w:rsid w:val="0067365F"/>
    <w:rsid w:val="00675343"/>
    <w:rsid w:val="00686D56"/>
    <w:rsid w:val="006C524F"/>
    <w:rsid w:val="006F6B63"/>
    <w:rsid w:val="007167D1"/>
    <w:rsid w:val="00733C8F"/>
    <w:rsid w:val="007424EB"/>
    <w:rsid w:val="00770404"/>
    <w:rsid w:val="007B7A1E"/>
    <w:rsid w:val="007C2B26"/>
    <w:rsid w:val="007C71FF"/>
    <w:rsid w:val="007F6A17"/>
    <w:rsid w:val="00825D15"/>
    <w:rsid w:val="00852FD3"/>
    <w:rsid w:val="008637D9"/>
    <w:rsid w:val="00931BFE"/>
    <w:rsid w:val="00935A8F"/>
    <w:rsid w:val="00945540"/>
    <w:rsid w:val="009B5230"/>
    <w:rsid w:val="00AB1A53"/>
    <w:rsid w:val="00B148B0"/>
    <w:rsid w:val="00B37305"/>
    <w:rsid w:val="00BB4FC3"/>
    <w:rsid w:val="00BD6AEF"/>
    <w:rsid w:val="00C24340"/>
    <w:rsid w:val="00C447CD"/>
    <w:rsid w:val="00C47B31"/>
    <w:rsid w:val="00C77ACC"/>
    <w:rsid w:val="00CF5761"/>
    <w:rsid w:val="00D24E52"/>
    <w:rsid w:val="00D25C5F"/>
    <w:rsid w:val="00D95417"/>
    <w:rsid w:val="00DA67D2"/>
    <w:rsid w:val="00DC4B23"/>
    <w:rsid w:val="00DC778D"/>
    <w:rsid w:val="00E17B1A"/>
    <w:rsid w:val="00E3550C"/>
    <w:rsid w:val="00E369B4"/>
    <w:rsid w:val="00EB6682"/>
    <w:rsid w:val="00EE3043"/>
    <w:rsid w:val="00F249C8"/>
    <w:rsid w:val="00F90E13"/>
    <w:rsid w:val="00F93E4F"/>
    <w:rsid w:val="00F966F8"/>
    <w:rsid w:val="00FB0C8A"/>
    <w:rsid w:val="00FE2161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1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17B1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86D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1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17B1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86D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A1470-FC0C-4207-B209-CA81FDF5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94F68CA5</Template>
  <TotalTime>2</TotalTime>
  <Pages>2</Pages>
  <Words>443</Words>
  <Characters>3059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menczer.peter</cp:lastModifiedBy>
  <cp:revision>2</cp:revision>
  <dcterms:created xsi:type="dcterms:W3CDTF">2017-01-31T13:19:00Z</dcterms:created>
  <dcterms:modified xsi:type="dcterms:W3CDTF">2017-01-31T13:19:00Z</dcterms:modified>
</cp:coreProperties>
</file>