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22" w:rsidRDefault="00EA4C22" w:rsidP="00EA4C22">
      <w:pPr>
        <w:pStyle w:val="NormlWeb"/>
        <w:spacing w:after="284" w:afterAutospacing="0"/>
        <w:jc w:val="center"/>
      </w:pPr>
      <w:r>
        <w:rPr>
          <w:b/>
          <w:bCs/>
        </w:rPr>
        <w:t>A büntetés-végrehajtás országos parancsnokának</w:t>
      </w:r>
      <w:r>
        <w:rPr>
          <w:b/>
          <w:bCs/>
        </w:rPr>
        <w:br/>
        <w:t>17/2015. (II.10) OP</w:t>
      </w:r>
    </w:p>
    <w:p w:rsidR="00EA4C22" w:rsidRDefault="00EA4C22" w:rsidP="00EA4C22">
      <w:pPr>
        <w:pStyle w:val="NormlWeb"/>
        <w:spacing w:after="284" w:afterAutospacing="0"/>
        <w:jc w:val="center"/>
      </w:pPr>
      <w:r>
        <w:rPr>
          <w:b/>
          <w:bCs/>
          <w:i/>
          <w:iCs/>
        </w:rPr>
        <w:t xml:space="preserve">s z a k u t a s í t á s </w:t>
      </w:r>
      <w:proofErr w:type="gramStart"/>
      <w:r>
        <w:rPr>
          <w:b/>
          <w:bCs/>
          <w:i/>
          <w:iCs/>
        </w:rPr>
        <w:t>a</w:t>
      </w:r>
      <w:proofErr w:type="gramEnd"/>
    </w:p>
    <w:p w:rsidR="00EA4C22" w:rsidRDefault="00EA4C22" w:rsidP="00EA4C22">
      <w:pPr>
        <w:pStyle w:val="NormlWeb"/>
        <w:spacing w:after="284" w:afterAutospacing="0"/>
        <w:jc w:val="center"/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büntetés-végrehajtásnál foglalkoztatott, beutalási jogosultsággal rendelkező </w:t>
      </w:r>
      <w:r>
        <w:rPr>
          <w:b/>
          <w:bCs/>
          <w:i/>
          <w:iCs/>
        </w:rPr>
        <w:br/>
        <w:t>orvosok adatainak változásával kapcsolatos jelentési kötelezettségről</w:t>
      </w:r>
    </w:p>
    <w:p w:rsidR="00EA4C22" w:rsidRDefault="00EA4C22" w:rsidP="00EA4C22">
      <w:pPr>
        <w:pStyle w:val="NormlWeb"/>
        <w:spacing w:after="284" w:afterAutospacing="0"/>
        <w:jc w:val="both"/>
      </w:pPr>
      <w:r>
        <w:t>A büntetés-végrehajtási szervezet belső szabályozási tevékenységéről szóló 2/2013.(IX.13.) BVOP utasítás 7. pontja alapján - figyelemmel a kötelező egészségbiztosítás ellátásairól szóló 1997. évi LXXXIII. törvényre, és a végrehajtásáról szóló 217/1997. (XII.1.) Kormányrendeletre - az alábbi szakutasítást adom ki.</w:t>
      </w:r>
    </w:p>
    <w:p w:rsidR="00EA4C22" w:rsidRDefault="00EA4C22" w:rsidP="00EA4C22">
      <w:pPr>
        <w:pStyle w:val="NormlWeb"/>
        <w:spacing w:after="284" w:afterAutospacing="0"/>
        <w:ind w:left="567" w:hanging="284"/>
        <w:jc w:val="both"/>
      </w:pPr>
      <w:r>
        <w:t>1.  A szakutasítás hatálya kiterjed a Büntetés-végrehajtás Országos Parancsnokságra, az egészségügyi szolgáltatást nyújtó büntetés-végrehajtási intézetekre (továbbiakban: egészségügyi szolgáltatók), valamint az állományukban szolgálati, közalkalmazotti vagy egyéb munkavégzésre irányuló jogviszony, valamint vállalkozói szerződés keretében foglalkoztatott orvosokra.</w:t>
      </w:r>
    </w:p>
    <w:p w:rsidR="00EA4C22" w:rsidRDefault="00EA4C22" w:rsidP="00EA4C22">
      <w:pPr>
        <w:pStyle w:val="NormlWeb"/>
        <w:spacing w:after="284" w:afterAutospacing="0"/>
        <w:ind w:left="567" w:hanging="284"/>
        <w:jc w:val="both"/>
      </w:pPr>
      <w:r>
        <w:t>2.  A büntetés-végrehajtás keretében nyújtott egészségügyi szolgáltatások finanszírozására egyrészről a Büntetés-végrehajtás Országos Parancsnoksága, másrészről az Országos Egészségbiztosítási Pénztár (továbbiakban: OEP) nevében eljáró Közép-magyarországi Területi Egészségbiztosítási Hivatal által kötött szerződés ad fedezetet.</w:t>
      </w:r>
    </w:p>
    <w:p w:rsidR="00EA4C22" w:rsidRDefault="00EA4C22" w:rsidP="00EA4C22">
      <w:pPr>
        <w:pStyle w:val="NormlWeb"/>
        <w:spacing w:after="284" w:afterAutospacing="0"/>
        <w:ind w:left="567" w:hanging="284"/>
        <w:jc w:val="both"/>
      </w:pPr>
      <w:r>
        <w:t>3.  A finanszírozott egészségügyi szolgáltató az általa foglalkoztatott orvosok tevékenysége vonatkozásában anyagi felelősséget visel, és róluk az OEP által meghatározott, tételes személyi és egyéb adatokat köteles szolgáltatni, a jogosultságok (beutalási, utalványozási, keresőképtelenség elbírálás, stb.) pontos feltüntetésével.</w:t>
      </w:r>
    </w:p>
    <w:p w:rsidR="00EA4C22" w:rsidRDefault="00EA4C22" w:rsidP="00EA4C22">
      <w:pPr>
        <w:pStyle w:val="NormlWeb"/>
        <w:spacing w:after="284" w:afterAutospacing="0"/>
        <w:ind w:left="567" w:hanging="284"/>
        <w:jc w:val="both"/>
      </w:pPr>
      <w:r>
        <w:t>4.  Az adatszolgáltatás elmaradása az orvosok jogosulatlan eljárását eredményezi, melynek jogi és anyagi következményei az egészségügyi szolgáltatót terhelik.</w:t>
      </w:r>
    </w:p>
    <w:p w:rsidR="00EA4C22" w:rsidRDefault="00EA4C22" w:rsidP="00EA4C22">
      <w:pPr>
        <w:pStyle w:val="NormlWeb"/>
        <w:spacing w:after="284" w:afterAutospacing="0"/>
        <w:ind w:left="567" w:hanging="284"/>
        <w:jc w:val="both"/>
      </w:pPr>
      <w:r>
        <w:t xml:space="preserve">5.  A büntetés-végrehajtási szervezet által fenntartott fekvőbeteg egészségügyi szolgáltatók [Büntetés-végrehajtás Központi Kórház, Igazságügyi Megfigyelő és Elmegyógyító Intézet, Szegedi Fegyház és Börtön (Nagyfa) </w:t>
      </w:r>
      <w:proofErr w:type="spellStart"/>
      <w:r>
        <w:t>Belgyógyászat-Krónikus</w:t>
      </w:r>
      <w:proofErr w:type="spellEnd"/>
      <w:r>
        <w:t xml:space="preserve"> utókezelő részleg] esetében a változás jelentési kötelezettséget a Büntetés-végrehajtás Országos Parancsnokság Egészségügyi Főosztálya látja el az OEP honlapján található Orvos Bejelentő Program (OBP) szerint elektronikusan.</w:t>
      </w:r>
    </w:p>
    <w:p w:rsidR="00EA4C22" w:rsidRDefault="00EA4C22" w:rsidP="00EA4C22">
      <w:pPr>
        <w:pStyle w:val="NormlWeb"/>
        <w:spacing w:after="284" w:afterAutospacing="0"/>
        <w:ind w:left="567" w:hanging="284"/>
        <w:jc w:val="both"/>
      </w:pPr>
      <w:r>
        <w:t>6.  A nem fekvőbeteg ellátást nyújtó, az Egészségbiztosítási Alap terhére nem finanszírozott egészségügyi szolgáltató által, a feladatkörébe tartozó közfinanszírozott egészségügyi szolgáltatás végzésére foglalkoztatott, beutalásra jogosult orvosok adatainak változásait az egészségügyi szolgáltató közvetlenül jelenti írásban a területileg illetékes, OEP nevében eljáró Egészségbiztosítási Hivatalnak. A jelentés alapja a saját hatáskörben kötött szerződés a fent nevezett hivatallal, és a foglalkoztatott orvosok által ellátható szaktevékenységre vonatkozó, a területileg illetékes Megyei Kormányhivatal Járási Hivatalának Járási Népegészségügyi Intézete által kiadott jogerős működési engedély.</w:t>
      </w:r>
    </w:p>
    <w:p w:rsidR="00EA4C22" w:rsidRDefault="00EA4C22" w:rsidP="00EA4C22">
      <w:pPr>
        <w:pStyle w:val="NormlWeb"/>
        <w:spacing w:after="284" w:afterAutospacing="0"/>
        <w:ind w:left="567" w:hanging="284"/>
        <w:jc w:val="both"/>
      </w:pPr>
      <w:r>
        <w:t>7.  A változásjelentés határideje mindig a tárgyhót követő hónap 5. munkanapja.</w:t>
      </w:r>
    </w:p>
    <w:p w:rsidR="00EA4C22" w:rsidRDefault="00EA4C22" w:rsidP="00EA4C22">
      <w:pPr>
        <w:pStyle w:val="NormlWeb"/>
        <w:spacing w:after="284" w:afterAutospacing="0"/>
        <w:ind w:left="567" w:hanging="284"/>
        <w:jc w:val="both"/>
      </w:pPr>
      <w:r>
        <w:lastRenderedPageBreak/>
        <w:t>8.  Ez a szakutasítás a kiadás napján lép hatályba. Ezzel egyidejűleg a büntetés-végrehajtásnál foglalkoztatott, gyógyszer, gyógyászati segédeszköz támogatással történő rendelésre jogosult orvosok adatainak változásával kapcsolatos jelentési kötelezettségről szóló 2-1/2/2006.(IK Bv</w:t>
      </w:r>
      <w:proofErr w:type="gramStart"/>
      <w:r>
        <w:t>.Mell</w:t>
      </w:r>
      <w:proofErr w:type="gramEnd"/>
      <w:r>
        <w:t xml:space="preserve">.3.) </w:t>
      </w:r>
      <w:proofErr w:type="spellStart"/>
      <w:r>
        <w:t>OPáh</w:t>
      </w:r>
      <w:proofErr w:type="spellEnd"/>
      <w:r>
        <w:t xml:space="preserve"> intézkedés hatályát veszti.</w:t>
      </w:r>
    </w:p>
    <w:p w:rsidR="00EA4C22" w:rsidRDefault="00EA4C22" w:rsidP="00EA4C22">
      <w:pPr>
        <w:pStyle w:val="NormlWeb"/>
        <w:spacing w:after="284" w:afterAutospacing="0"/>
        <w:ind w:left="567" w:hanging="284"/>
        <w:jc w:val="right"/>
      </w:pPr>
      <w:r>
        <w:rPr>
          <w:b/>
          <w:bCs/>
        </w:rPr>
        <w:t xml:space="preserve">Csóti András </w:t>
      </w:r>
      <w:proofErr w:type="spellStart"/>
      <w:r>
        <w:rPr>
          <w:b/>
          <w:bCs/>
        </w:rPr>
        <w:t>bv.vezérőrnagy</w:t>
      </w:r>
      <w:proofErr w:type="spellEnd"/>
      <w:r>
        <w:rPr>
          <w:b/>
          <w:bCs/>
        </w:rPr>
        <w:br/>
      </w:r>
      <w:r>
        <w:rPr>
          <w:sz w:val="20"/>
          <w:szCs w:val="20"/>
        </w:rPr>
        <w:t>országos parancsnok</w:t>
      </w:r>
    </w:p>
    <w:p w:rsidR="00EE3043" w:rsidRPr="00EA4C22" w:rsidRDefault="00EE3043" w:rsidP="00EA4C22"/>
    <w:sectPr w:rsidR="00EE3043" w:rsidRPr="00EA4C22" w:rsidSect="009B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FDF"/>
    <w:multiLevelType w:val="multilevel"/>
    <w:tmpl w:val="B9AA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D5FA4"/>
    <w:multiLevelType w:val="multilevel"/>
    <w:tmpl w:val="A1C8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E1BDF"/>
    <w:multiLevelType w:val="multilevel"/>
    <w:tmpl w:val="FC0C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F328D"/>
    <w:multiLevelType w:val="multilevel"/>
    <w:tmpl w:val="2F04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E5ED2"/>
    <w:multiLevelType w:val="multilevel"/>
    <w:tmpl w:val="F0E4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6C6231"/>
    <w:multiLevelType w:val="multilevel"/>
    <w:tmpl w:val="56FA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E3F24"/>
    <w:multiLevelType w:val="multilevel"/>
    <w:tmpl w:val="0D82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C068A"/>
    <w:multiLevelType w:val="multilevel"/>
    <w:tmpl w:val="0536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9C258C"/>
    <w:multiLevelType w:val="multilevel"/>
    <w:tmpl w:val="441A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C0010"/>
    <w:multiLevelType w:val="multilevel"/>
    <w:tmpl w:val="10FC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D3771"/>
    <w:multiLevelType w:val="multilevel"/>
    <w:tmpl w:val="707C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1153D"/>
    <w:multiLevelType w:val="multilevel"/>
    <w:tmpl w:val="F6CE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A543D3"/>
    <w:multiLevelType w:val="multilevel"/>
    <w:tmpl w:val="861A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D62A25"/>
    <w:multiLevelType w:val="multilevel"/>
    <w:tmpl w:val="FDC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6A3DA5"/>
    <w:multiLevelType w:val="multilevel"/>
    <w:tmpl w:val="3048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9E09F7"/>
    <w:multiLevelType w:val="multilevel"/>
    <w:tmpl w:val="F81C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3159A1"/>
    <w:multiLevelType w:val="multilevel"/>
    <w:tmpl w:val="84BE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8D26F9"/>
    <w:multiLevelType w:val="multilevel"/>
    <w:tmpl w:val="8B30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6332C7"/>
    <w:multiLevelType w:val="multilevel"/>
    <w:tmpl w:val="9650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157356"/>
    <w:multiLevelType w:val="multilevel"/>
    <w:tmpl w:val="123E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F40F9"/>
    <w:multiLevelType w:val="multilevel"/>
    <w:tmpl w:val="CA8C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8A2B59"/>
    <w:multiLevelType w:val="multilevel"/>
    <w:tmpl w:val="751E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A815D3"/>
    <w:multiLevelType w:val="multilevel"/>
    <w:tmpl w:val="DFA8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CF5266"/>
    <w:multiLevelType w:val="multilevel"/>
    <w:tmpl w:val="CDCC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B37AC3"/>
    <w:multiLevelType w:val="multilevel"/>
    <w:tmpl w:val="A632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66198"/>
    <w:multiLevelType w:val="multilevel"/>
    <w:tmpl w:val="A448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3C36AD"/>
    <w:multiLevelType w:val="multilevel"/>
    <w:tmpl w:val="7A0E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C8229B"/>
    <w:multiLevelType w:val="multilevel"/>
    <w:tmpl w:val="912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2A769F"/>
    <w:multiLevelType w:val="multilevel"/>
    <w:tmpl w:val="0BB6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B6351E"/>
    <w:multiLevelType w:val="multilevel"/>
    <w:tmpl w:val="1BBA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8A79B9"/>
    <w:multiLevelType w:val="multilevel"/>
    <w:tmpl w:val="FB1C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230E95"/>
    <w:multiLevelType w:val="multilevel"/>
    <w:tmpl w:val="2DBE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0D440E"/>
    <w:multiLevelType w:val="hybridMultilevel"/>
    <w:tmpl w:val="0552672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118597C"/>
    <w:multiLevelType w:val="multilevel"/>
    <w:tmpl w:val="8398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9F05A8"/>
    <w:multiLevelType w:val="multilevel"/>
    <w:tmpl w:val="435A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3C0C68"/>
    <w:multiLevelType w:val="multilevel"/>
    <w:tmpl w:val="3212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9A07DB"/>
    <w:multiLevelType w:val="multilevel"/>
    <w:tmpl w:val="1EBE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B6106D"/>
    <w:multiLevelType w:val="multilevel"/>
    <w:tmpl w:val="A948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312D70"/>
    <w:multiLevelType w:val="multilevel"/>
    <w:tmpl w:val="C1FE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4B122C"/>
    <w:multiLevelType w:val="multilevel"/>
    <w:tmpl w:val="B4F6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362B5E"/>
    <w:multiLevelType w:val="multilevel"/>
    <w:tmpl w:val="EA76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827544"/>
    <w:multiLevelType w:val="multilevel"/>
    <w:tmpl w:val="819E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932BC6"/>
    <w:multiLevelType w:val="multilevel"/>
    <w:tmpl w:val="EE6EB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4C1447"/>
    <w:multiLevelType w:val="multilevel"/>
    <w:tmpl w:val="2AE61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933AB4"/>
    <w:multiLevelType w:val="multilevel"/>
    <w:tmpl w:val="7390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91698E"/>
    <w:multiLevelType w:val="multilevel"/>
    <w:tmpl w:val="6204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A949A3"/>
    <w:multiLevelType w:val="multilevel"/>
    <w:tmpl w:val="49D2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2"/>
  </w:num>
  <w:num w:numId="3">
    <w:abstractNumId w:val="37"/>
  </w:num>
  <w:num w:numId="4">
    <w:abstractNumId w:val="6"/>
  </w:num>
  <w:num w:numId="5">
    <w:abstractNumId w:val="44"/>
  </w:num>
  <w:num w:numId="6">
    <w:abstractNumId w:val="9"/>
  </w:num>
  <w:num w:numId="7">
    <w:abstractNumId w:val="11"/>
  </w:num>
  <w:num w:numId="8">
    <w:abstractNumId w:val="16"/>
  </w:num>
  <w:num w:numId="9">
    <w:abstractNumId w:val="2"/>
  </w:num>
  <w:num w:numId="10">
    <w:abstractNumId w:val="43"/>
  </w:num>
  <w:num w:numId="11">
    <w:abstractNumId w:val="18"/>
  </w:num>
  <w:num w:numId="12">
    <w:abstractNumId w:val="45"/>
  </w:num>
  <w:num w:numId="13">
    <w:abstractNumId w:val="23"/>
  </w:num>
  <w:num w:numId="14">
    <w:abstractNumId w:val="33"/>
  </w:num>
  <w:num w:numId="15">
    <w:abstractNumId w:val="15"/>
  </w:num>
  <w:num w:numId="16">
    <w:abstractNumId w:val="36"/>
  </w:num>
  <w:num w:numId="17">
    <w:abstractNumId w:val="34"/>
  </w:num>
  <w:num w:numId="18">
    <w:abstractNumId w:val="38"/>
  </w:num>
  <w:num w:numId="19">
    <w:abstractNumId w:val="0"/>
  </w:num>
  <w:num w:numId="20">
    <w:abstractNumId w:val="8"/>
  </w:num>
  <w:num w:numId="21">
    <w:abstractNumId w:val="29"/>
  </w:num>
  <w:num w:numId="22">
    <w:abstractNumId w:val="22"/>
  </w:num>
  <w:num w:numId="23">
    <w:abstractNumId w:val="21"/>
  </w:num>
  <w:num w:numId="24">
    <w:abstractNumId w:val="1"/>
  </w:num>
  <w:num w:numId="25">
    <w:abstractNumId w:val="27"/>
  </w:num>
  <w:num w:numId="26">
    <w:abstractNumId w:val="7"/>
  </w:num>
  <w:num w:numId="27">
    <w:abstractNumId w:val="3"/>
  </w:num>
  <w:num w:numId="28">
    <w:abstractNumId w:val="13"/>
  </w:num>
  <w:num w:numId="29">
    <w:abstractNumId w:val="4"/>
  </w:num>
  <w:num w:numId="30">
    <w:abstractNumId w:val="14"/>
  </w:num>
  <w:num w:numId="31">
    <w:abstractNumId w:val="30"/>
  </w:num>
  <w:num w:numId="32">
    <w:abstractNumId w:val="25"/>
  </w:num>
  <w:num w:numId="33">
    <w:abstractNumId w:val="19"/>
  </w:num>
  <w:num w:numId="34">
    <w:abstractNumId w:val="5"/>
  </w:num>
  <w:num w:numId="35">
    <w:abstractNumId w:val="28"/>
  </w:num>
  <w:num w:numId="36">
    <w:abstractNumId w:val="39"/>
  </w:num>
  <w:num w:numId="37">
    <w:abstractNumId w:val="20"/>
  </w:num>
  <w:num w:numId="38">
    <w:abstractNumId w:val="26"/>
  </w:num>
  <w:num w:numId="39">
    <w:abstractNumId w:val="40"/>
  </w:num>
  <w:num w:numId="40">
    <w:abstractNumId w:val="10"/>
  </w:num>
  <w:num w:numId="41">
    <w:abstractNumId w:val="24"/>
  </w:num>
  <w:num w:numId="42">
    <w:abstractNumId w:val="12"/>
  </w:num>
  <w:num w:numId="43">
    <w:abstractNumId w:val="31"/>
  </w:num>
  <w:num w:numId="44">
    <w:abstractNumId w:val="46"/>
  </w:num>
  <w:num w:numId="45">
    <w:abstractNumId w:val="42"/>
  </w:num>
  <w:num w:numId="46">
    <w:abstractNumId w:val="17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B1A"/>
    <w:rsid w:val="00000278"/>
    <w:rsid w:val="0000251A"/>
    <w:rsid w:val="00091747"/>
    <w:rsid w:val="000C4548"/>
    <w:rsid w:val="00151DC4"/>
    <w:rsid w:val="00166D5B"/>
    <w:rsid w:val="00170534"/>
    <w:rsid w:val="0017206C"/>
    <w:rsid w:val="00193C54"/>
    <w:rsid w:val="001A35F9"/>
    <w:rsid w:val="00253513"/>
    <w:rsid w:val="002A1D3D"/>
    <w:rsid w:val="002D5DE1"/>
    <w:rsid w:val="00323B66"/>
    <w:rsid w:val="00354C21"/>
    <w:rsid w:val="00365FFF"/>
    <w:rsid w:val="00367603"/>
    <w:rsid w:val="003C77DD"/>
    <w:rsid w:val="00443104"/>
    <w:rsid w:val="004555C7"/>
    <w:rsid w:val="0047259B"/>
    <w:rsid w:val="004915EA"/>
    <w:rsid w:val="004F2030"/>
    <w:rsid w:val="005053C3"/>
    <w:rsid w:val="00526DF2"/>
    <w:rsid w:val="005E3E63"/>
    <w:rsid w:val="00654CAB"/>
    <w:rsid w:val="00671737"/>
    <w:rsid w:val="0067365F"/>
    <w:rsid w:val="00675343"/>
    <w:rsid w:val="00686D56"/>
    <w:rsid w:val="006F6B63"/>
    <w:rsid w:val="007167D1"/>
    <w:rsid w:val="00733C8F"/>
    <w:rsid w:val="007424EB"/>
    <w:rsid w:val="00770404"/>
    <w:rsid w:val="007B7A1E"/>
    <w:rsid w:val="007C2B26"/>
    <w:rsid w:val="007C71FF"/>
    <w:rsid w:val="007F6A17"/>
    <w:rsid w:val="00825D15"/>
    <w:rsid w:val="00852FD3"/>
    <w:rsid w:val="008637D9"/>
    <w:rsid w:val="008F3EC6"/>
    <w:rsid w:val="00931BFE"/>
    <w:rsid w:val="00935A8F"/>
    <w:rsid w:val="00945540"/>
    <w:rsid w:val="009B5230"/>
    <w:rsid w:val="00AB1A53"/>
    <w:rsid w:val="00B148B0"/>
    <w:rsid w:val="00B37305"/>
    <w:rsid w:val="00BB4FC3"/>
    <w:rsid w:val="00BD6AEF"/>
    <w:rsid w:val="00C24340"/>
    <w:rsid w:val="00C447CD"/>
    <w:rsid w:val="00C77ACC"/>
    <w:rsid w:val="00CF5761"/>
    <w:rsid w:val="00D24E52"/>
    <w:rsid w:val="00D25C5F"/>
    <w:rsid w:val="00D95417"/>
    <w:rsid w:val="00DA67D2"/>
    <w:rsid w:val="00DC3839"/>
    <w:rsid w:val="00DC4B23"/>
    <w:rsid w:val="00DC778D"/>
    <w:rsid w:val="00E17B1A"/>
    <w:rsid w:val="00E3550C"/>
    <w:rsid w:val="00E369B4"/>
    <w:rsid w:val="00EA4C22"/>
    <w:rsid w:val="00EB6682"/>
    <w:rsid w:val="00EE3043"/>
    <w:rsid w:val="00F249C8"/>
    <w:rsid w:val="00F90E13"/>
    <w:rsid w:val="00F93E4F"/>
    <w:rsid w:val="00F966F8"/>
    <w:rsid w:val="00FB0C8A"/>
    <w:rsid w:val="00FE2161"/>
    <w:rsid w:val="00FF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2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1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17B1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86D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D43E1-05CB-446D-B065-43F34D26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3</cp:revision>
  <dcterms:created xsi:type="dcterms:W3CDTF">2015-09-26T11:22:00Z</dcterms:created>
  <dcterms:modified xsi:type="dcterms:W3CDTF">2015-09-26T11:23:00Z</dcterms:modified>
</cp:coreProperties>
</file>