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B" w:rsidRDefault="00F67BEB" w:rsidP="00F67BEB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31/2015. (IV.22.) OP</w:t>
      </w:r>
    </w:p>
    <w:p w:rsidR="00F67BEB" w:rsidRDefault="00F67BEB" w:rsidP="00F67BEB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F67BEB" w:rsidRDefault="00F67BEB" w:rsidP="00F67BEB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katonai tiszteletadással történő temetések megszervezéséről és végrehajtásáról</w:t>
      </w:r>
    </w:p>
    <w:p w:rsidR="00F67BEB" w:rsidRDefault="00F67BEB" w:rsidP="00F67BEB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- figyelemmel a belügyminiszter irányítása alatt álló fegyveres szervek hivatásos és közalkalmazotti állománya részére adható támogatásról és a kegyeleti gondoskodással kapcsolatos egyes feladatokról szóló 6/2013. (III. 27.) BM rendelet 15. §</w:t>
      </w:r>
      <w:proofErr w:type="spellStart"/>
      <w:r>
        <w:t>-ára</w:t>
      </w:r>
      <w:proofErr w:type="spellEnd"/>
      <w:r>
        <w:t xml:space="preserve"> és 20. §</w:t>
      </w:r>
      <w:proofErr w:type="spellStart"/>
      <w:r>
        <w:t>-ára</w:t>
      </w:r>
      <w:proofErr w:type="spellEnd"/>
      <w:r>
        <w:t xml:space="preserve"> - a büntetés-végrehajtási szervezet halottainak temetésekor a fegyveres szolgálat jellegének megfelelő végső tiszteletadás kinyilvánításának és az alaki szabályok egységes végrehajtási rendje és megvalósulása érdekében - a következő szakutasítást adom ki.</w:t>
      </w:r>
    </w:p>
    <w:p w:rsidR="00F67BEB" w:rsidRDefault="00F67BEB" w:rsidP="00F67BEB">
      <w:pPr>
        <w:pStyle w:val="NormlWeb"/>
        <w:spacing w:after="284" w:afterAutospacing="0"/>
        <w:jc w:val="center"/>
      </w:pPr>
      <w:r>
        <w:rPr>
          <w:b/>
          <w:bCs/>
        </w:rPr>
        <w:t xml:space="preserve">I. 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szakutasítás hatálya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1.  A szakutasítás hatálya a büntetés-végrehajtási szervezet aktív, illetve nyugállományú vagy szolgálati járandóságban részesülő tagjának (továbbiakban: testületi tag) elhalálozása esetén a temetés megszervezésére és végrehajtására terjed ki.</w:t>
      </w:r>
    </w:p>
    <w:p w:rsidR="00F67BEB" w:rsidRDefault="00F67BEB" w:rsidP="00F67BEB">
      <w:pPr>
        <w:pStyle w:val="NormlWeb"/>
        <w:spacing w:after="284" w:afterAutospacing="0"/>
        <w:jc w:val="center"/>
      </w:pPr>
      <w:r>
        <w:rPr>
          <w:b/>
          <w:bCs/>
        </w:rPr>
        <w:br/>
        <w:t>II.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katonai tiszteletadással történő temetés előkészítése és megszervezése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2.  Azt az elhunyt testületi tagot, akit "hősi halottá", a "büntetés-végrehajtási szervezet halottjává", illetve a "szervezeti egység halottjává" nyilvánítottak - és a </w:t>
      </w:r>
      <w:proofErr w:type="gramStart"/>
      <w:r>
        <w:t>hozzátartozó(</w:t>
      </w:r>
      <w:proofErr w:type="gramEnd"/>
      <w:r>
        <w:t>k) ehhez hozzájárultak - katonai tiszteletadással és az ezzel együtt tartott egyházi, illetve polgári végső búcsúztatással (a továbbiakban: gyászszertartás) kell eltemetni.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3.  Katonai tiszteletadással tartott gyászszertartás esetén az érintett egyház képviselőjével, illetve a polgári búcsúztatóval is egyeztetni kell a temetés menetét. Az egyházi, polgári szertartás mozzanataihoz úgy kell igazodni, hogy a végső tiszteletadás katonai jellege is érvényesüljön.</w:t>
      </w:r>
    </w:p>
    <w:p w:rsidR="00F67BEB" w:rsidRDefault="00F67BEB" w:rsidP="00F67BEB">
      <w:pPr>
        <w:pStyle w:val="NormlWeb"/>
        <w:ind w:left="567" w:hanging="284"/>
        <w:jc w:val="both"/>
      </w:pPr>
      <w:r>
        <w:t xml:space="preserve">4.  Katonai tiszteletadással történő temetés esetén a Büntetés-végrehajtás Országos Parancsnoksága, illetve a büntetés-végrehajtási intézet vagy intézmény vezetője (a továbbiakban: </w:t>
      </w:r>
      <w:proofErr w:type="spellStart"/>
      <w:r>
        <w:t>bv</w:t>
      </w:r>
      <w:proofErr w:type="spellEnd"/>
      <w:r>
        <w:t xml:space="preserve">. szerv vezetője) kegyeleti bizottságot hoz létre. A kegyeleti bizottságba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a biztonsági,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>a személyügyi,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  </w:t>
      </w:r>
      <w:r>
        <w:t xml:space="preserve">a gazdasági,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  </w:t>
      </w:r>
      <w:r>
        <w:t>az egészségügyi</w:t>
      </w:r>
    </w:p>
    <w:p w:rsidR="00F67BEB" w:rsidRDefault="00F67BEB" w:rsidP="00F67BEB">
      <w:pPr>
        <w:pStyle w:val="NormlWeb"/>
        <w:spacing w:after="284" w:afterAutospacing="0"/>
        <w:ind w:left="567"/>
        <w:jc w:val="both"/>
      </w:pPr>
      <w:proofErr w:type="gramStart"/>
      <w:r>
        <w:t>szakterület</w:t>
      </w:r>
      <w:proofErr w:type="gramEnd"/>
      <w:r>
        <w:t xml:space="preserve"> egy-egy képviselőjét kell kijelölni.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5.  A kegyeleti bizottság vezetésével elsősorban a biztonsági szakterület vezetőjét vagy a katonai temetések lebonyolításában jártas főtisztet, tisztet kell megbízni.</w:t>
      </w:r>
      <w:r>
        <w:br/>
      </w:r>
      <w:r>
        <w:lastRenderedPageBreak/>
        <w:br/>
        <w:t>A bizottság vezetője a bizottság tagjainak feladat-meghatározó eligazítást tart, ahol meghatározza a konkrét feladatokat, a határidőket és a folyamatos jelentési kötelezettséget a feladatok végrehajtásáról.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6.  A bizottság tagjainak a következő feladatokat kell elvégezni.</w:t>
      </w:r>
    </w:p>
    <w:p w:rsidR="00F67BEB" w:rsidRDefault="00F67BEB" w:rsidP="00F67BEB">
      <w:pPr>
        <w:pStyle w:val="NormlWeb"/>
        <w:ind w:left="567" w:hanging="284"/>
        <w:jc w:val="both"/>
      </w:pPr>
      <w:r>
        <w:t>6.1.  A személyügyi szakterület feladatai: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javaslattétel az elhunyt testületi tag "hősi halottá", a "büntetés-végrehajtási szervezet halottjává", illetve a "szervezeti egység halottjává" nyilvánítására,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 xml:space="preserve">kapcsolatfelvétel az elhunyt hozzátartozóival és más olyan szervekkel, amelyekkel az elhunyt társadalmi, vagy munkakapcsolatban állt,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  </w:t>
      </w:r>
      <w:r>
        <w:t>az újságokban a gyászhír megjelentetése, az illetékes szervek értesítése,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  </w:t>
      </w:r>
      <w:r>
        <w:t xml:space="preserve">a temetés részleteinek egyeztetése az elhunyt hozzátartozóival (gyászbeszéd, temetési helyszín, sírhely kijelölése, gyászjelentés, újsághirdetés, stb.),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  </w:t>
      </w:r>
      <w:r>
        <w:t xml:space="preserve">az egyház képviselőjével, polgári búcsúztatóval történő kapcsolatfelvétel, egyeztetés,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  </w:t>
      </w:r>
      <w:r>
        <w:t>segítségnyújtás a gyászbeszédek elkészítéséhez,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  </w:t>
      </w:r>
      <w:r>
        <w:t xml:space="preserve">a szolgálati igazolvány, halotti anyakönyvi kivonat, halott-vizsgálati bizonyítvány, az elhunyt temetéséről értesítendők listájának és kitüntetéseinek bekérése,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  </w:t>
      </w:r>
      <w:r>
        <w:t>az elhunytról A/4 nagyságú fénykép biztosítása, beszerzése, képkeretbe helyezése,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i)  </w:t>
      </w:r>
      <w:r>
        <w:t>a temetés írásbeli megrendelése (helyszín, időpont),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j)  </w:t>
      </w:r>
      <w:r>
        <w:t>koszorúk megrendelése, kiszállíttatása,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k)  </w:t>
      </w:r>
      <w:r>
        <w:t>fényképfelvételek készítése a temetésről.</w:t>
      </w:r>
    </w:p>
    <w:p w:rsidR="00F67BEB" w:rsidRDefault="00F67BEB" w:rsidP="00F67BEB">
      <w:pPr>
        <w:pStyle w:val="NormlWeb"/>
        <w:ind w:left="567" w:hanging="284"/>
        <w:jc w:val="both"/>
      </w:pPr>
      <w:r>
        <w:t>6.2  A gazdasági szakterület feladatai: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a temetéssel kapcsolatos kifizetések végrehajtása,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 xml:space="preserve">gyászoló család számára gépjármű biztosítása (temetésre és vissza),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  </w:t>
      </w:r>
      <w:r>
        <w:t>autóbusz biztosítása a díszkíséret szállításához, valamint a gyászszertartást megelőző gyakorláshoz,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  </w:t>
      </w:r>
      <w:r>
        <w:t>gondoskodás a temetésen résztvevő személyi állomány szállításáról,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  </w:t>
      </w:r>
      <w:r>
        <w:t xml:space="preserve">a díszkíséret és a zenekar számára a gyakorlat és a temetés idejére az évszaknak megfelelő védőital, illetve hidegélelem biztosítása,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  </w:t>
      </w:r>
      <w:r>
        <w:t xml:space="preserve">a temetéshez szükséges eszközök beszerzése a Büntetés-végrehajtás Országos Parancsnoksága Központi Anyagraktárán keresztül (gyászkarszalag, díszöv, fehér kesztyű, kard, rendjelvivő párna, a díszlövéshez, illetve annak begyakorlásához vak lőszer), temetés után az eszközök összegyűjtése, és visszajuttatása a kiutaló szervhez,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  </w:t>
      </w:r>
      <w:r>
        <w:t xml:space="preserve">hangosítás technikai feltételeinek egyeztetése a temető személyzetével, szükség esetén a hangosítás biztosítása,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  </w:t>
      </w:r>
      <w:r>
        <w:t xml:space="preserve">a temetőben - szükség esetén - a díszelgő alegység útvonalán a terep rendezése. </w:t>
      </w:r>
    </w:p>
    <w:p w:rsidR="00F67BEB" w:rsidRDefault="00F67BEB" w:rsidP="00F67BEB">
      <w:pPr>
        <w:pStyle w:val="NormlWeb"/>
        <w:ind w:left="567" w:hanging="284"/>
        <w:jc w:val="both"/>
      </w:pPr>
      <w:r>
        <w:t>6.3.  A biztonsági szakterület feladatai: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a temetéssel kapcsolatos biztosítási feladatok megszervezése, végrehajtása,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 xml:space="preserve">az esetleges rendőri biztosítással kapcsolatos szervezési feladatok végrehajtása,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lastRenderedPageBreak/>
        <w:t>c)  </w:t>
      </w:r>
      <w:r>
        <w:t>a fegyverzeti és a díszelgéshez szükséges szakanyagok felvételezése, kezelése, szállítása és leadása,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  </w:t>
      </w:r>
      <w:r>
        <w:t>a gyászszertartást végrehajtó állomány kiválasztása,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  </w:t>
      </w:r>
      <w:r>
        <w:t>a katonai tiszteletadás begyakoroltatása, az alaki fogások kidolgozása, váltások megszervezése,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  </w:t>
      </w:r>
      <w:r>
        <w:t>megfelelő szintű vezetői döntés alapján zenekari kürtös, vagy zenekar (elsősorban a rendőrségi állományból történő) biztosítása.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6.4   Az egészségügyi szakterület feladata az egészségügyi személyzet (ápoló) biztosítása.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7.  A </w:t>
      </w:r>
      <w:proofErr w:type="spellStart"/>
      <w:r>
        <w:t>bv</w:t>
      </w:r>
      <w:proofErr w:type="spellEnd"/>
      <w:r>
        <w:t xml:space="preserve">. szerv vezetője határozza meg a díszkíséret létszámát, a parancsnok személyét, erről tájékoztatja a kegyeleti bizottság vezetőjét. 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8.  A díszkíséret parancsnoka a temető személyzetével egyezteti a ravatal helyszínét, az elhunyt testületi tag végső nyughelyéhez történő szállítását, az elhantolást és az ezekhez kapcsolódó feladatokat.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9.  A kegyeleti bizottság a hozzátartozókkal, a polgári búcsúztatóval, a temető személyzetével, az egyház képviselőjével, valamint a díszkíséret parancsnokával történt egyeztetést követően a temetés végrehajtási rendjére vonatkozóan tervet készít. </w:t>
      </w:r>
    </w:p>
    <w:p w:rsidR="00F67BEB" w:rsidRDefault="00F67BEB" w:rsidP="00F67BEB">
      <w:pPr>
        <w:pStyle w:val="NormlWeb"/>
        <w:ind w:left="567" w:hanging="284"/>
        <w:jc w:val="both"/>
      </w:pPr>
      <w:r>
        <w:t xml:space="preserve">10. A terv tartalmazza: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az elhunyt testületi tag nevét,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 xml:space="preserve">  a temetés helyszínét és idejét,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</w:t>
      </w:r>
      <w:r>
        <w:t>  a díszkísérethez tartozó alakzatok létszámát, öltözetét,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</w:t>
      </w:r>
      <w:r>
        <w:t>  a temetéshez szükséges fegyverzeti szakanyagok mennyiségét, felvételének és leadásának rendjét,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  a szükséges eszközök mennyiségét,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>  az alaki mozzanatok gyakoroltatásának helyét és idejét,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 xml:space="preserve">  a díszkíséret tevékenységének sorrendjét (a vezényszavakat és az alaki mozzanatok végrehajtását nem kell rögzíteni),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 xml:space="preserve">  a gyászzene szolgáltatását,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i)</w:t>
      </w:r>
      <w:r>
        <w:t>  a díszkíséret szállításának módját,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j)</w:t>
      </w:r>
      <w:r>
        <w:t>  a kegyeleti bizottság tevékenységének, működésének befejezésére vonatkozó rendelkezéseket.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11. A tervet a </w:t>
      </w:r>
      <w:proofErr w:type="spellStart"/>
      <w:r>
        <w:t>bv</w:t>
      </w:r>
      <w:proofErr w:type="spellEnd"/>
      <w:r>
        <w:t>. szerv vezetője hagyja jóvá.</w:t>
      </w:r>
    </w:p>
    <w:p w:rsidR="00F67BEB" w:rsidRDefault="00F67BEB" w:rsidP="00F67BEB">
      <w:pPr>
        <w:pStyle w:val="NormlWeb"/>
        <w:spacing w:after="284" w:afterAutospacing="0"/>
        <w:jc w:val="center"/>
      </w:pPr>
      <w:r>
        <w:rPr>
          <w:b/>
          <w:bCs/>
        </w:rPr>
        <w:br/>
        <w:t>III.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díszkíséret feladatai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12. A temetésen a kirendelt díszkíséret a meghatározott és egységes egyenruhában, felszereléssel vesz részt. Az elhunyt ravatalánál a büntetés-végrehajtás hivatásos állományú tagjai ünnepi egyenruhában kegyeleti őrséget állnak.</w:t>
      </w:r>
    </w:p>
    <w:p w:rsidR="00F67BEB" w:rsidRDefault="00F67BEB" w:rsidP="00F67BEB">
      <w:pPr>
        <w:pStyle w:val="NormlWeb"/>
        <w:ind w:left="567" w:hanging="284"/>
        <w:jc w:val="both"/>
      </w:pPr>
      <w:r>
        <w:t xml:space="preserve">13. A díszkísérethez tartozik: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  a díszkíséret parancsnoka,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lastRenderedPageBreak/>
        <w:t>b)</w:t>
      </w:r>
      <w:r>
        <w:t>  1 fő képvivő,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</w:t>
      </w:r>
      <w:r>
        <w:t>  1 fő rendjelvivő (amennyiben az elhunyt részesült kitüntetésben),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</w:t>
      </w:r>
      <w:r>
        <w:t xml:space="preserve">  2-4 fő koszorúvivő,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>  2-8 fő díszőr,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>  a díszalegység parancsnoka és a díszalegység (tábornok esetében század, főtiszt esetében szakasz, tiszt, zászlós és tiszthelyettes esetében 2 raj, de legalább 11 fő).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14. A díszkíséret parancsnoka a díszkíséretbe beosztottak irányítását, a díszőrség és a kegyeleti őrség felvezetését, váltását és elvezetését végzi. Feladatait a hangfelvétel (zene) szolgáltatójával (ha van, akkor a zenekar vezetőjével) összhangban végzi. 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15. A díszőrség a felvezetést követően a ravatalnál díszőrséget áll. A koporsónál 4 fő, az urnánál 2 fő díszőrt kell felállítani. 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16. A koszorúvivők a ravatal megbontásakor (a gyászmenet megalakítása előtt) felveszik a legközelebbi hozzátartozó, a büntetés-végrehajtási szervezet, illetve a szervezeti egység koszorúját (nagyméretű koszorút 2 fő, a kisméretűt 1 fő), azokat a végső búcsúztatás helyszínéig viszik, majd ott helyezik el. 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17. A képvivő és a rendjelvivő a képet és a rendjelpárnát a ravatalnál veszi fel. A búcsúbeszéd, illetve a gyászszertartás ideje alatt (a ravatalnál és az elhantolás helyszínén) a díszkíséret parancsnoka által meghatározott helyen tartózkodik.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18. A díszalegység lehetőség szerint a ravatallal szemben helyezkedik el. A búcsúbeszéd, illetve a gyászszertartás befejezését követően tiszteletadást teljesít és az elhunyt földi maradványait a végső nyughelyére kíséri.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19. A zenekar (hangfelvétel) a gyászszertartás kezdetén a Himnuszt, a ravatalbontásnál, a gyászmenet, az elhantolás, és a koszorúk elhelyezése alatt, továbbá a koporsó (urna) sírba helyezésekor (szóráskor) gyászindulókat, a koszorúk sírra helyezése után a Szózatot, a díszmenet alatt pedig a "Magyar díszmenet induló"</w:t>
      </w:r>
      <w:proofErr w:type="spellStart"/>
      <w:r>
        <w:t>-t</w:t>
      </w:r>
      <w:proofErr w:type="spellEnd"/>
      <w:r>
        <w:t xml:space="preserve"> játssza. A díszalegység elvonulását követően a zenekar kürtöse játssza el a "Magyar takarodót", vagy az "Il </w:t>
      </w:r>
      <w:proofErr w:type="spellStart"/>
      <w:r>
        <w:t>silenzio</w:t>
      </w:r>
      <w:proofErr w:type="spellEnd"/>
      <w:r>
        <w:t>"</w:t>
      </w:r>
      <w:proofErr w:type="spellStart"/>
      <w:r>
        <w:t>-t</w:t>
      </w:r>
      <w:proofErr w:type="spellEnd"/>
      <w:r>
        <w:t>.</w:t>
      </w:r>
    </w:p>
    <w:p w:rsidR="00F67BEB" w:rsidRDefault="00F67BEB" w:rsidP="00F67BEB">
      <w:pPr>
        <w:pStyle w:val="NormlWeb"/>
        <w:spacing w:after="284" w:afterAutospacing="0"/>
        <w:jc w:val="center"/>
      </w:pPr>
      <w:r>
        <w:rPr>
          <w:b/>
          <w:bCs/>
        </w:rPr>
        <w:br/>
        <w:t>IV.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temetés végrehajtásának rendje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20. A díszőröket a ravatalnál a koporsó, illetve urna két oldalán kell felállítani. Az őrpárok a koporsó két végével, illetve az urnával egy vonalban helyezkedjenek el. 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21. A díszőrség felállítása után kell felvezetni a kegyeleti őrséget. A kegyeleti őrség az elhunyt testületi tag szolgálati elöljáróiból, a társszervek képviselőiből és a közvetlen munkatársakból áll. Felvezetésüket és levezetésüket a díszőrség parancsnoka végzi.</w:t>
      </w:r>
      <w:r>
        <w:br/>
        <w:t>A kegyeleti őrségbe beosztottakat el kell igazítani, hogy milyen módon és mennyi ideig teljesítsenek tiszteletadást, hogyan történik a fel-, illetve levezetésük. A kegyeleti őrség elvezetése után a díszőrség parancsnoka - szükség szerint - intézkedjen a díszőrök váltására.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lastRenderedPageBreak/>
        <w:t>22. A gyászbeszédet, illetve a gyászszertartást követően a koporsót vagy urnát a szállító járműbe, kocsira helyezik. A ravataltól a járműbe helyezésig az egyenruhás állomány teljesítsen tiszteletadást.</w:t>
      </w:r>
    </w:p>
    <w:p w:rsidR="00F67BEB" w:rsidRDefault="00F67BEB" w:rsidP="00F67BEB">
      <w:pPr>
        <w:pStyle w:val="NormlWeb"/>
        <w:ind w:left="567" w:hanging="284"/>
        <w:jc w:val="both"/>
      </w:pPr>
      <w:r>
        <w:t>23. A szállító jármű megindulását követően a díszkíséret és a temetésen megjelentek besorolnak a gyászmenetbe a következő sorrendben: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egymás után 2-3 lépés távközre a koszorúvivők,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 xml:space="preserve">  utánuk 3 lépésre a képvivő,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</w:t>
      </w:r>
      <w:r>
        <w:t>  ezt követően 3 lépésre rendjelvivő,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</w:t>
      </w:r>
      <w:r>
        <w:t xml:space="preserve">  5-10 lépésre az elhunytat szállító gépjármű,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  a gépjárművet kétoldalt 2-2 fő díszőr kíséri,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  a gépjármű mögött 2-4 lépés távközre haladnak az elhunyt közeli hozzátartozói, majd a büntetés-végrehajtás és a társszervek képviselői,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 xml:space="preserve">  őket 5 lépésre követi a díszalegység menetalakzatban, 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>  a menetben a távolabbi hozzátartozók és a megjelent gyászolók következnek,</w:t>
      </w:r>
    </w:p>
    <w:p w:rsidR="00F67BEB" w:rsidRDefault="00F67BEB" w:rsidP="00F67BEB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i)</w:t>
      </w:r>
      <w:r>
        <w:t xml:space="preserve">  a menetet a zenekar zárja. 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24. A jelenlévő egyházi képviselő a szertartás rendjének megfelelően helyezkedik el a menetben.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25. A díszkíséret parancsnoka a menet oldalán halad és ügyel az előzőekben említett besorolási rend és a távközök megtartására. 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26. Miután a gyászmenet megállt a végső búcsúztatás helyszínén, a képvivő, a rendjelvivő és a koszorúvivők helyezkedjenek el. A díszkíséretet úgy kell felállítani, hogy a gyászolóktól elkülönülve a további feladatát végre tudja hajtani.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27. Az elhangzott búcsúbeszéd, illetve a gyászszertartás után az elhunyt testületi tag földi maradványait végső nyughelyére helyezik, azt követően elhelyezik a koszorúkat.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28. A koporsó (urna) elhelyezése (hamvak szórása) alatt kell végrehajtani a díszlövést. Arra század erejű díszalegység esetén egy szakaszt, szakasz esetén egy rajt kell kijelölni. A díszalegység parancsnoka a feladatok vezénylését - a díszkíséret parancsnokának előzetes meghatározása alapján - önállóan végzi.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29. A koszorúvivők a büntetés-végrehajtási szervezet, a szervezeti egység, illetve a közeli hozzátartók koszorúját először helyezik el. Ezt követően forduljanak egymással szembe, 4-6 másodpercig teljesítsenek tiszteletadást, majd vonuljanak el a meghatározott helyre. 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30. A koszorúk elhelyezése után, a Szózat elhangzása közben a díszkíséret és a jelenlévő egyenruhás állomány teljesítsen tiszteletadást.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31. A díszalegység - ahol erre lehetőség van - a menetinduló ütemére díszmenetben vonuljon el az elhunyt sírja (kegyeleti terület) előtt, azzal egyvonalban (menetben) - az egyenruhás résztvevőkkel egyidejűleg - teljesítsenek tiszteletadást. A díszalegység elvonulását követően a zenekar kürtöse játssza el a "Magyar takarodót", vagy az "Il </w:t>
      </w:r>
      <w:proofErr w:type="spellStart"/>
      <w:r>
        <w:t>silenzio</w:t>
      </w:r>
      <w:proofErr w:type="spellEnd"/>
      <w:r>
        <w:t>"</w:t>
      </w:r>
      <w:proofErr w:type="spellStart"/>
      <w:r>
        <w:t>-t</w:t>
      </w:r>
      <w:proofErr w:type="spellEnd"/>
      <w:r>
        <w:t>, amely alatt az egyenruhás résztvevők teljesítsenek tiszteletadást.</w:t>
      </w:r>
      <w:r>
        <w:br/>
      </w:r>
      <w:r>
        <w:br/>
        <w:t xml:space="preserve">Miután a zenekar elvonult, a </w:t>
      </w:r>
      <w:proofErr w:type="spellStart"/>
      <w:r>
        <w:t>bv</w:t>
      </w:r>
      <w:proofErr w:type="spellEnd"/>
      <w:r>
        <w:t xml:space="preserve">. szerv vezetője - távollétében a kegyeleti bizottság </w:t>
      </w:r>
      <w:r>
        <w:lastRenderedPageBreak/>
        <w:t>vezetője - intézkedjen az elhunyt fotójának átadására a legközelebbi hozzátartozó részére, a díszkíséret parancsnoka ezután vonja be a díszőröket.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32. A katonai szertartást követően a kegyeleti bizottság vezetője gondoskodjon a bevonulás megszervezéséről, majd a fegyverzet és a felszerelések leadásáról és eligazítás keretében értékelje a résztvevő állomány feladat-végrehajtását. A tapasztalatokról tegyen jelentést a </w:t>
      </w:r>
      <w:proofErr w:type="spellStart"/>
      <w:r>
        <w:t>bv</w:t>
      </w:r>
      <w:proofErr w:type="spellEnd"/>
      <w:r>
        <w:t>. szerv vezetője felé.</w:t>
      </w:r>
    </w:p>
    <w:p w:rsidR="00F67BEB" w:rsidRDefault="00F67BEB" w:rsidP="00F67BEB">
      <w:pPr>
        <w:pStyle w:val="NormlWeb"/>
        <w:spacing w:after="284" w:afterAutospacing="0"/>
        <w:jc w:val="center"/>
      </w:pPr>
      <w:r>
        <w:rPr>
          <w:b/>
          <w:bCs/>
        </w:rPr>
        <w:br/>
        <w:t>V.</w:t>
      </w:r>
      <w:r>
        <w:rPr>
          <w:b/>
          <w:bCs/>
        </w:rPr>
        <w:br/>
        <w:t>Záró rendelkezések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>33. Ez a szakutasítás 2015. május 1-jén lép hatályba.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both"/>
      </w:pPr>
      <w:r>
        <w:t xml:space="preserve">34. Hatályát veszti a temetések megszervezéséről és végrehajtásáról szóló Módszertani Útmutató kiadásáról szóló 0151/1993. (IK. </w:t>
      </w:r>
      <w:proofErr w:type="spellStart"/>
      <w:r>
        <w:t>Bv</w:t>
      </w:r>
      <w:proofErr w:type="spellEnd"/>
      <w:r>
        <w:t xml:space="preserve">. Mell.3.) </w:t>
      </w:r>
      <w:proofErr w:type="spellStart"/>
      <w:r>
        <w:t>Opáh</w:t>
      </w:r>
      <w:proofErr w:type="spellEnd"/>
      <w:r>
        <w:t>. Intézkedés.</w:t>
      </w:r>
    </w:p>
    <w:p w:rsidR="00F67BEB" w:rsidRDefault="00F67BEB" w:rsidP="00F67BEB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EE3043" w:rsidRPr="00F67BEB" w:rsidRDefault="00EE3043" w:rsidP="00F67BEB"/>
    <w:sectPr w:rsidR="00EE3043" w:rsidRPr="00F67BEB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FDF"/>
    <w:multiLevelType w:val="multilevel"/>
    <w:tmpl w:val="B9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FA4"/>
    <w:multiLevelType w:val="multilevel"/>
    <w:tmpl w:val="A1C8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BDF"/>
    <w:multiLevelType w:val="multilevel"/>
    <w:tmpl w:val="F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328D"/>
    <w:multiLevelType w:val="multilevel"/>
    <w:tmpl w:val="2F0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E5ED2"/>
    <w:multiLevelType w:val="multilevel"/>
    <w:tmpl w:val="F0E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C6231"/>
    <w:multiLevelType w:val="multilevel"/>
    <w:tmpl w:val="56FA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C068A"/>
    <w:multiLevelType w:val="multilevel"/>
    <w:tmpl w:val="053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C258C"/>
    <w:multiLevelType w:val="multilevel"/>
    <w:tmpl w:val="441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D3771"/>
    <w:multiLevelType w:val="multilevel"/>
    <w:tmpl w:val="707C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543D3"/>
    <w:multiLevelType w:val="multilevel"/>
    <w:tmpl w:val="861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A25"/>
    <w:multiLevelType w:val="multilevel"/>
    <w:tmpl w:val="FDC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A3DA5"/>
    <w:multiLevelType w:val="multilevel"/>
    <w:tmpl w:val="304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E09F7"/>
    <w:multiLevelType w:val="multilevel"/>
    <w:tmpl w:val="F81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159A1"/>
    <w:multiLevelType w:val="multilevel"/>
    <w:tmpl w:val="84B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D26F9"/>
    <w:multiLevelType w:val="multilevel"/>
    <w:tmpl w:val="8B3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332C7"/>
    <w:multiLevelType w:val="multilevel"/>
    <w:tmpl w:val="9650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57356"/>
    <w:multiLevelType w:val="multilevel"/>
    <w:tmpl w:val="123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F40F9"/>
    <w:multiLevelType w:val="multilevel"/>
    <w:tmpl w:val="CA8C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A2B59"/>
    <w:multiLevelType w:val="multilevel"/>
    <w:tmpl w:val="751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815D3"/>
    <w:multiLevelType w:val="multilevel"/>
    <w:tmpl w:val="DF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F5266"/>
    <w:multiLevelType w:val="multilevel"/>
    <w:tmpl w:val="CD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37AC3"/>
    <w:multiLevelType w:val="multilevel"/>
    <w:tmpl w:val="A63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66198"/>
    <w:multiLevelType w:val="multilevel"/>
    <w:tmpl w:val="A44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36AD"/>
    <w:multiLevelType w:val="multilevel"/>
    <w:tmpl w:val="7A0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8229B"/>
    <w:multiLevelType w:val="multilevel"/>
    <w:tmpl w:val="91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A769F"/>
    <w:multiLevelType w:val="multilevel"/>
    <w:tmpl w:val="0BB6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6351E"/>
    <w:multiLevelType w:val="multilevel"/>
    <w:tmpl w:val="1BB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A79B9"/>
    <w:multiLevelType w:val="multilevel"/>
    <w:tmpl w:val="FB1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30E95"/>
    <w:multiLevelType w:val="multilevel"/>
    <w:tmpl w:val="2DB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18597C"/>
    <w:multiLevelType w:val="multilevel"/>
    <w:tmpl w:val="839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9F05A8"/>
    <w:multiLevelType w:val="multilevel"/>
    <w:tmpl w:val="435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C0C68"/>
    <w:multiLevelType w:val="multilevel"/>
    <w:tmpl w:val="321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A07DB"/>
    <w:multiLevelType w:val="multilevel"/>
    <w:tmpl w:val="1EB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312D70"/>
    <w:multiLevelType w:val="multilevel"/>
    <w:tmpl w:val="C1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4B122C"/>
    <w:multiLevelType w:val="multilevel"/>
    <w:tmpl w:val="B4F6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62B5E"/>
    <w:multiLevelType w:val="multilevel"/>
    <w:tmpl w:val="EA7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932BC6"/>
    <w:multiLevelType w:val="multilevel"/>
    <w:tmpl w:val="EE6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C1447"/>
    <w:multiLevelType w:val="multilevel"/>
    <w:tmpl w:val="2AE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1698E"/>
    <w:multiLevelType w:val="multilevel"/>
    <w:tmpl w:val="62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949A3"/>
    <w:multiLevelType w:val="multilevel"/>
    <w:tmpl w:val="49D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2"/>
  </w:num>
  <w:num w:numId="3">
    <w:abstractNumId w:val="37"/>
  </w:num>
  <w:num w:numId="4">
    <w:abstractNumId w:val="6"/>
  </w:num>
  <w:num w:numId="5">
    <w:abstractNumId w:val="44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43"/>
  </w:num>
  <w:num w:numId="11">
    <w:abstractNumId w:val="18"/>
  </w:num>
  <w:num w:numId="12">
    <w:abstractNumId w:val="45"/>
  </w:num>
  <w:num w:numId="13">
    <w:abstractNumId w:val="23"/>
  </w:num>
  <w:num w:numId="14">
    <w:abstractNumId w:val="33"/>
  </w:num>
  <w:num w:numId="15">
    <w:abstractNumId w:val="15"/>
  </w:num>
  <w:num w:numId="16">
    <w:abstractNumId w:val="36"/>
  </w:num>
  <w:num w:numId="17">
    <w:abstractNumId w:val="34"/>
  </w:num>
  <w:num w:numId="18">
    <w:abstractNumId w:val="38"/>
  </w:num>
  <w:num w:numId="19">
    <w:abstractNumId w:val="0"/>
  </w:num>
  <w:num w:numId="20">
    <w:abstractNumId w:val="8"/>
  </w:num>
  <w:num w:numId="21">
    <w:abstractNumId w:val="29"/>
  </w:num>
  <w:num w:numId="22">
    <w:abstractNumId w:val="22"/>
  </w:num>
  <w:num w:numId="23">
    <w:abstractNumId w:val="21"/>
  </w:num>
  <w:num w:numId="24">
    <w:abstractNumId w:val="1"/>
  </w:num>
  <w:num w:numId="25">
    <w:abstractNumId w:val="27"/>
  </w:num>
  <w:num w:numId="26">
    <w:abstractNumId w:val="7"/>
  </w:num>
  <w:num w:numId="27">
    <w:abstractNumId w:val="3"/>
  </w:num>
  <w:num w:numId="28">
    <w:abstractNumId w:val="13"/>
  </w:num>
  <w:num w:numId="29">
    <w:abstractNumId w:val="4"/>
  </w:num>
  <w:num w:numId="30">
    <w:abstractNumId w:val="14"/>
  </w:num>
  <w:num w:numId="31">
    <w:abstractNumId w:val="30"/>
  </w:num>
  <w:num w:numId="32">
    <w:abstractNumId w:val="25"/>
  </w:num>
  <w:num w:numId="33">
    <w:abstractNumId w:val="19"/>
  </w:num>
  <w:num w:numId="34">
    <w:abstractNumId w:val="5"/>
  </w:num>
  <w:num w:numId="35">
    <w:abstractNumId w:val="28"/>
  </w:num>
  <w:num w:numId="36">
    <w:abstractNumId w:val="39"/>
  </w:num>
  <w:num w:numId="37">
    <w:abstractNumId w:val="20"/>
  </w:num>
  <w:num w:numId="38">
    <w:abstractNumId w:val="26"/>
  </w:num>
  <w:num w:numId="39">
    <w:abstractNumId w:val="40"/>
  </w:num>
  <w:num w:numId="40">
    <w:abstractNumId w:val="10"/>
  </w:num>
  <w:num w:numId="41">
    <w:abstractNumId w:val="24"/>
  </w:num>
  <w:num w:numId="42">
    <w:abstractNumId w:val="12"/>
  </w:num>
  <w:num w:numId="43">
    <w:abstractNumId w:val="31"/>
  </w:num>
  <w:num w:numId="44">
    <w:abstractNumId w:val="46"/>
  </w:num>
  <w:num w:numId="45">
    <w:abstractNumId w:val="42"/>
  </w:num>
  <w:num w:numId="46">
    <w:abstractNumId w:val="1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828AF"/>
    <w:rsid w:val="00091747"/>
    <w:rsid w:val="000C4548"/>
    <w:rsid w:val="00151DC4"/>
    <w:rsid w:val="00166D5B"/>
    <w:rsid w:val="00170534"/>
    <w:rsid w:val="0017206C"/>
    <w:rsid w:val="00193C54"/>
    <w:rsid w:val="001A35F9"/>
    <w:rsid w:val="00253513"/>
    <w:rsid w:val="002A1D3D"/>
    <w:rsid w:val="002D5DE1"/>
    <w:rsid w:val="00323B66"/>
    <w:rsid w:val="00354C21"/>
    <w:rsid w:val="00365FFF"/>
    <w:rsid w:val="00367603"/>
    <w:rsid w:val="003C77DD"/>
    <w:rsid w:val="00443104"/>
    <w:rsid w:val="004555C7"/>
    <w:rsid w:val="0047259B"/>
    <w:rsid w:val="004915EA"/>
    <w:rsid w:val="004F2030"/>
    <w:rsid w:val="005053C3"/>
    <w:rsid w:val="00526DF2"/>
    <w:rsid w:val="005E3E63"/>
    <w:rsid w:val="00654CAB"/>
    <w:rsid w:val="00671737"/>
    <w:rsid w:val="0067365F"/>
    <w:rsid w:val="00675343"/>
    <w:rsid w:val="00686D56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25D15"/>
    <w:rsid w:val="00852FD3"/>
    <w:rsid w:val="008637D9"/>
    <w:rsid w:val="00931BFE"/>
    <w:rsid w:val="00935A8F"/>
    <w:rsid w:val="00945540"/>
    <w:rsid w:val="009B5230"/>
    <w:rsid w:val="00AB1A53"/>
    <w:rsid w:val="00B148B0"/>
    <w:rsid w:val="00B37305"/>
    <w:rsid w:val="00BB4FC3"/>
    <w:rsid w:val="00BD6AEF"/>
    <w:rsid w:val="00C24340"/>
    <w:rsid w:val="00C447CD"/>
    <w:rsid w:val="00C77ACC"/>
    <w:rsid w:val="00CF5761"/>
    <w:rsid w:val="00D24E52"/>
    <w:rsid w:val="00D25C5F"/>
    <w:rsid w:val="00D95417"/>
    <w:rsid w:val="00DA67D2"/>
    <w:rsid w:val="00DC4B23"/>
    <w:rsid w:val="00DC778D"/>
    <w:rsid w:val="00E17B1A"/>
    <w:rsid w:val="00E3550C"/>
    <w:rsid w:val="00E369B4"/>
    <w:rsid w:val="00EB6682"/>
    <w:rsid w:val="00EC0383"/>
    <w:rsid w:val="00EE3043"/>
    <w:rsid w:val="00F249C8"/>
    <w:rsid w:val="00F67BEB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A7DB-CD8A-4024-B1F7-7020B49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2015-09-26T11:25:00Z</dcterms:created>
  <dcterms:modified xsi:type="dcterms:W3CDTF">2015-09-26T11:27:00Z</dcterms:modified>
</cp:coreProperties>
</file>