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FC" w:rsidRDefault="00C11CFC" w:rsidP="00C11CFC">
      <w:bookmarkStart w:id="0" w:name="_GoBack"/>
      <w:bookmarkEnd w:id="0"/>
    </w:p>
    <w:p w:rsidR="00AE1DD9" w:rsidRDefault="00AE1DD9" w:rsidP="00C11CFC"/>
    <w:p w:rsid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F19A8" w:rsidRDefault="00F1046F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1E51">
        <w:rPr>
          <w:rFonts w:eastAsiaTheme="minorHAnsi"/>
          <w:b/>
          <w:sz w:val="28"/>
          <w:szCs w:val="28"/>
          <w:lang w:eastAsia="en-US"/>
        </w:rPr>
        <w:t>A G</w:t>
      </w:r>
      <w:r w:rsidR="00041C16" w:rsidRPr="00C31E51">
        <w:rPr>
          <w:rFonts w:eastAsiaTheme="minorHAnsi"/>
          <w:b/>
          <w:sz w:val="28"/>
          <w:szCs w:val="28"/>
          <w:lang w:eastAsia="en-US"/>
        </w:rPr>
        <w:t xml:space="preserve">YŐR-MOSON-SOPRON MEGYEI BÜNTETÉS-VÉGREHAJTÁSI </w:t>
      </w:r>
    </w:p>
    <w:p w:rsidR="005F19A8" w:rsidRDefault="005F19A8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046F" w:rsidRPr="00C31E51" w:rsidRDefault="00041C16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1E51">
        <w:rPr>
          <w:rFonts w:eastAsiaTheme="minorHAnsi"/>
          <w:b/>
          <w:sz w:val="28"/>
          <w:szCs w:val="28"/>
          <w:lang w:eastAsia="en-US"/>
        </w:rPr>
        <w:t>INTÉZET</w:t>
      </w:r>
      <w:r w:rsidR="00F1046F" w:rsidRPr="00C31E5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41C16" w:rsidRPr="00C31E51" w:rsidRDefault="00041C16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1E51">
        <w:rPr>
          <w:rFonts w:eastAsiaTheme="minorHAnsi"/>
          <w:b/>
          <w:sz w:val="28"/>
          <w:szCs w:val="28"/>
          <w:lang w:eastAsia="en-US"/>
        </w:rPr>
        <w:t>MÁSOLATKÉSZÍTÉSI SZABÁLYZATA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1E51">
        <w:rPr>
          <w:rFonts w:eastAsiaTheme="minorHAnsi"/>
          <w:b/>
          <w:sz w:val="28"/>
          <w:szCs w:val="28"/>
          <w:lang w:eastAsia="en-US"/>
        </w:rPr>
        <w:t xml:space="preserve">2017. </w:t>
      </w:r>
      <w:r w:rsidR="00041C16" w:rsidRPr="00C31E51">
        <w:rPr>
          <w:rFonts w:eastAsiaTheme="minorHAnsi"/>
          <w:b/>
          <w:sz w:val="28"/>
          <w:szCs w:val="28"/>
          <w:lang w:eastAsia="en-US"/>
        </w:rPr>
        <w:t>szeptember 7</w:t>
      </w:r>
      <w:r w:rsidRPr="00C31E51">
        <w:rPr>
          <w:rFonts w:eastAsiaTheme="minorHAnsi"/>
          <w:b/>
          <w:sz w:val="28"/>
          <w:szCs w:val="28"/>
          <w:lang w:eastAsia="en-US"/>
        </w:rPr>
        <w:t>.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41C16" w:rsidRDefault="00041C16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41C16" w:rsidRDefault="005F4AD3" w:rsidP="00F1046F">
      <w:pPr>
        <w:spacing w:line="276" w:lineRule="auto"/>
        <w:rPr>
          <w:rFonts w:eastAsiaTheme="minorHAnsi"/>
          <w:lang w:eastAsia="en-US"/>
        </w:rPr>
      </w:pPr>
      <w:r w:rsidRPr="005F4AD3">
        <w:rPr>
          <w:rFonts w:eastAsiaTheme="minorHAnsi"/>
          <w:lang w:eastAsia="en-US"/>
        </w:rPr>
        <w:t xml:space="preserve">Készítette: </w:t>
      </w:r>
      <w:r>
        <w:rPr>
          <w:rFonts w:eastAsiaTheme="minorHAnsi"/>
          <w:lang w:eastAsia="en-US"/>
        </w:rPr>
        <w:t xml:space="preserve">    Halmai Tamás bv. alezredes</w:t>
      </w:r>
    </w:p>
    <w:p w:rsidR="005F4AD3" w:rsidRDefault="005F4AD3" w:rsidP="00F1046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személyügyi és szociális</w:t>
      </w:r>
    </w:p>
    <w:p w:rsidR="005F4AD3" w:rsidRDefault="005F4AD3" w:rsidP="00F1046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osztályvezető</w:t>
      </w:r>
    </w:p>
    <w:p w:rsidR="005F4AD3" w:rsidRPr="005F4AD3" w:rsidRDefault="005F4AD3" w:rsidP="00F1046F">
      <w:pPr>
        <w:spacing w:line="276" w:lineRule="auto"/>
        <w:rPr>
          <w:rFonts w:eastAsiaTheme="minorHAnsi"/>
          <w:lang w:eastAsia="en-US"/>
        </w:rPr>
      </w:pPr>
    </w:p>
    <w:p w:rsidR="00041C16" w:rsidRDefault="00041C16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41C16" w:rsidRDefault="00041C16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41C16" w:rsidRDefault="00041C16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41C16" w:rsidRPr="00F1046F" w:rsidRDefault="00041C16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1046F">
        <w:rPr>
          <w:rFonts w:asciiTheme="minorHAnsi" w:eastAsiaTheme="minorHAnsi" w:hAnsiTheme="minorHAnsi" w:cstheme="minorBidi"/>
          <w:b/>
          <w:lang w:eastAsia="en-US"/>
        </w:rPr>
        <w:t>I.</w:t>
      </w:r>
      <w:r w:rsidRPr="00F1046F">
        <w:rPr>
          <w:rFonts w:asciiTheme="minorHAnsi" w:eastAsiaTheme="minorHAnsi" w:hAnsiTheme="minorHAnsi" w:cstheme="minorBidi"/>
          <w:b/>
          <w:lang w:eastAsia="en-US"/>
        </w:rPr>
        <w:tab/>
      </w:r>
      <w:r w:rsidRPr="00C31E51">
        <w:rPr>
          <w:rFonts w:eastAsiaTheme="minorHAnsi"/>
          <w:b/>
          <w:lang w:eastAsia="en-US"/>
        </w:rPr>
        <w:t xml:space="preserve"> A SZABÁLYZAT CÉLJA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F1046F">
        <w:rPr>
          <w:rFonts w:asciiTheme="minorHAnsi" w:eastAsiaTheme="minorHAnsi" w:hAnsiTheme="minorHAnsi" w:cstheme="minorBidi"/>
          <w:lang w:eastAsia="en-US"/>
        </w:rPr>
        <w:t xml:space="preserve">1. </w:t>
      </w:r>
      <w:r w:rsidRPr="00C31E51">
        <w:rPr>
          <w:rFonts w:eastAsiaTheme="minorHAnsi"/>
          <w:lang w:eastAsia="en-US"/>
        </w:rPr>
        <w:t xml:space="preserve">A </w:t>
      </w:r>
      <w:r w:rsidR="00041C16" w:rsidRPr="00C31E51">
        <w:rPr>
          <w:rFonts w:eastAsiaTheme="minorHAnsi"/>
          <w:lang w:eastAsia="en-US"/>
        </w:rPr>
        <w:t>Győr-Moson-Sopron Megyei Büntetés-végrehajtási Intézet</w:t>
      </w:r>
      <w:r w:rsidRPr="00C31E51">
        <w:rPr>
          <w:rFonts w:eastAsiaTheme="minorHAnsi"/>
          <w:lang w:eastAsia="en-US"/>
        </w:rPr>
        <w:t xml:space="preserve"> (a továbbiakban: </w:t>
      </w:r>
      <w:r w:rsidR="00041C16" w:rsidRPr="00C31E51">
        <w:rPr>
          <w:rFonts w:eastAsiaTheme="minorHAnsi"/>
          <w:lang w:eastAsia="en-US"/>
        </w:rPr>
        <w:t>Intézet</w:t>
      </w:r>
      <w:r w:rsidRPr="00C31E51">
        <w:rPr>
          <w:rFonts w:eastAsiaTheme="minorHAnsi"/>
          <w:lang w:eastAsia="en-US"/>
        </w:rPr>
        <w:t>) szervezeti egységei Másolatkészítési Szabályzatának (a továbbiakban: Szabályzat) célja a</w:t>
      </w:r>
      <w:r w:rsidR="00041C16" w:rsidRPr="00C31E51">
        <w:rPr>
          <w:rFonts w:eastAsiaTheme="minorHAnsi"/>
          <w:lang w:eastAsia="en-US"/>
        </w:rPr>
        <w:t>z Intézet</w:t>
      </w:r>
      <w:r w:rsidRPr="00C31E51">
        <w:rPr>
          <w:rFonts w:eastAsiaTheme="minorHAnsi"/>
          <w:lang w:eastAsia="en-US"/>
        </w:rPr>
        <w:t xml:space="preserve"> szervezeti  egységeihez</w:t>
      </w:r>
      <w:r w:rsidR="005F4AD3">
        <w:rPr>
          <w:rFonts w:eastAsiaTheme="minorHAnsi"/>
          <w:lang w:eastAsia="en-US"/>
        </w:rPr>
        <w:t>, osztályaihoz</w:t>
      </w:r>
      <w:r w:rsidRPr="00C31E51">
        <w:rPr>
          <w:rFonts w:eastAsiaTheme="minorHAnsi"/>
          <w:lang w:eastAsia="en-US"/>
        </w:rPr>
        <w:t xml:space="preserve">  érkezett  </w:t>
      </w:r>
      <w:r w:rsidRPr="00C31E51">
        <w:rPr>
          <w:rFonts w:eastAsiaTheme="minorHAnsi"/>
          <w:b/>
          <w:lang w:eastAsia="en-US"/>
        </w:rPr>
        <w:t>papíralapú  küldemények  hiteles  elektronikus  irattá</w:t>
      </w:r>
      <w:r w:rsidRP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b/>
          <w:lang w:eastAsia="en-US"/>
        </w:rPr>
        <w:t>történő  átalakítására</w:t>
      </w:r>
      <w:r w:rsidRPr="00C31E51">
        <w:rPr>
          <w:rFonts w:eastAsiaTheme="minorHAnsi"/>
          <w:lang w:eastAsia="en-US"/>
        </w:rPr>
        <w:t xml:space="preserve"> vonatkozó  alapvető  és  egységes  szabályok  meghatározása  az elektronikus ügyintézés és a bizalmi szolgáltatások általános szabályairól szóló 2015. évi CCXXII. törvény, az elektronikus ügyintézés részletszabályairól szóló 451/2016. (XII. 19.) Korm</w:t>
      </w:r>
      <w:r w:rsidR="00041C16" w:rsidRPr="00C31E51">
        <w:rPr>
          <w:rFonts w:eastAsiaTheme="minorHAnsi"/>
          <w:lang w:eastAsia="en-US"/>
        </w:rPr>
        <w:t xml:space="preserve">. </w:t>
      </w:r>
      <w:r w:rsidRPr="00C31E51">
        <w:rPr>
          <w:rFonts w:eastAsiaTheme="minorHAnsi"/>
          <w:lang w:eastAsia="en-US"/>
        </w:rPr>
        <w:t>rendelet (a továbbiakban: Korm.  rendelet),  valamint  a  papíralapú  küldemények elektronikus irattá történő átalakításáról szóló 3/2017. (I. 24.) BM utasítás, illetve a Büntetés</w:t>
      </w:r>
      <w:r w:rsidR="00041C16" w:rsidRPr="00C31E51">
        <w:rPr>
          <w:rFonts w:eastAsiaTheme="minorHAnsi"/>
          <w:lang w:eastAsia="en-US"/>
        </w:rPr>
        <w:t>-</w:t>
      </w:r>
      <w:r w:rsidRPr="00C31E51">
        <w:rPr>
          <w:rFonts w:eastAsiaTheme="minorHAnsi"/>
          <w:lang w:eastAsia="en-US"/>
        </w:rPr>
        <w:t>végrehajtási Szervezet Egységes Iratkezelési  Szabályzat  rendelkezéseinek  figyelembe</w:t>
      </w:r>
      <w:r w:rsidR="00041C16" w:rsidRP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vételével.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041C16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2. A Szabályzat a vonatkozó jogszabályokkal összhangban tartalmazza a</w:t>
      </w:r>
      <w:r w:rsidR="00041C16" w:rsidRPr="00C31E51">
        <w:rPr>
          <w:rFonts w:eastAsiaTheme="minorHAnsi"/>
          <w:lang w:eastAsia="en-US"/>
        </w:rPr>
        <w:t>z Intézethez</w:t>
      </w:r>
      <w:r w:rsidRPr="00C31E51">
        <w:rPr>
          <w:rFonts w:eastAsiaTheme="minorHAnsi"/>
          <w:lang w:eastAsia="en-US"/>
        </w:rPr>
        <w:t xml:space="preserve"> érkező –  kivételi  körbe  nem  tartozó  –  papíralapú  dokumentumról  hiteles</w:t>
      </w:r>
      <w:r w:rsidR="00041C16" w:rsidRP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elektronikus másolat átalakításának eljárási rendjét és műszaki feltételeit.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II.</w:t>
      </w:r>
      <w:r w:rsidRPr="00C31E51">
        <w:rPr>
          <w:rFonts w:eastAsiaTheme="minorHAnsi"/>
          <w:b/>
          <w:lang w:eastAsia="en-US"/>
        </w:rPr>
        <w:tab/>
        <w:t xml:space="preserve"> FOGALMAK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3. A Szabályzat vonatkozásában: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a)  </w:t>
      </w:r>
      <w:r w:rsidRPr="00C31E51">
        <w:rPr>
          <w:rFonts w:eastAsiaTheme="minorHAnsi"/>
          <w:b/>
          <w:lang w:eastAsia="en-US"/>
        </w:rPr>
        <w:t>papíralapú dokumentum</w:t>
      </w:r>
      <w:r w:rsidRPr="00C31E51">
        <w:rPr>
          <w:rFonts w:eastAsiaTheme="minorHAnsi"/>
          <w:lang w:eastAsia="en-US"/>
        </w:rPr>
        <w:t>: papíron rögzített minden olyan szöveg, számadatsor, térkép,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tervrajz,  vázlat,  kép  vagy  más  adat,  amely  bármely  eszköz  felhasználásával  és  bármely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eljárással keletkezett;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b) </w:t>
      </w:r>
      <w:r w:rsidRPr="00C31E51">
        <w:rPr>
          <w:rFonts w:eastAsiaTheme="minorHAnsi"/>
          <w:b/>
          <w:lang w:eastAsia="en-US"/>
        </w:rPr>
        <w:t>papíralapú közokirat</w:t>
      </w:r>
      <w:r w:rsidRPr="00C31E51">
        <w:rPr>
          <w:rFonts w:eastAsiaTheme="minorHAnsi"/>
          <w:lang w:eastAsia="en-US"/>
        </w:rPr>
        <w:t>: papíralapú dokumentumba foglalt, a Polgári Perrendtartásról szóló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1952. évi III. törvény (a továbbiakban: Pp.) 195. § (1) bekezdése szerinti közokirat;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c) </w:t>
      </w:r>
      <w:r w:rsidRPr="00C31E51">
        <w:rPr>
          <w:rFonts w:eastAsiaTheme="minorHAnsi"/>
          <w:b/>
          <w:lang w:eastAsia="en-US"/>
        </w:rPr>
        <w:t>elektronikus másolat</w:t>
      </w:r>
      <w:r w:rsidRPr="00C31E51">
        <w:rPr>
          <w:rFonts w:eastAsiaTheme="minorHAnsi"/>
          <w:lang w:eastAsia="en-US"/>
        </w:rPr>
        <w:t>:  valamely papíralapú dokumentumról a Szabályzatnak megfelelően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készült, azzal képileg és tartalmilag egyező, és a külön jogszabályban meghatározott joghatás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kiváltására alkalmas elektronikus eszköz útján értelmezhető adat</w:t>
      </w:r>
      <w:r w:rsidR="005F4AD3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együttes, kivéve a papíralapú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dokumentumba foglaltadat</w:t>
      </w:r>
      <w:r w:rsidR="005F4AD3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együttes;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d) </w:t>
      </w:r>
      <w:r w:rsidRPr="00C31E51">
        <w:rPr>
          <w:rFonts w:eastAsiaTheme="minorHAnsi"/>
          <w:b/>
          <w:lang w:eastAsia="en-US"/>
        </w:rPr>
        <w:t>hitelesítési záradék</w:t>
      </w:r>
      <w:r w:rsidR="000F0CF9">
        <w:rPr>
          <w:rFonts w:eastAsiaTheme="minorHAnsi"/>
          <w:b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(„Az eredeti papíralapú dokumentummal egyező”): a Korm. rendelet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szerinti adattartalommal elkészített állomány, amely az elektronikus másolat elválaszthatatlan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részét képezi;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e) </w:t>
      </w:r>
      <w:r w:rsidRPr="00C31E51">
        <w:rPr>
          <w:rFonts w:eastAsiaTheme="minorHAnsi"/>
          <w:b/>
          <w:lang w:eastAsia="en-US"/>
        </w:rPr>
        <w:t>képi megfelelés</w:t>
      </w:r>
      <w:r w:rsidRPr="00C31E51">
        <w:rPr>
          <w:rFonts w:eastAsiaTheme="minorHAnsi"/>
          <w:lang w:eastAsia="en-US"/>
        </w:rPr>
        <w:t>: az elektronikus másolat azon tulajdonsága, amely biztosítja a papíralapú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 – joghatás kiváltása szempontjából lényeges – tartalmi és formai elemeinek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megismerhetőségét;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f) </w:t>
      </w:r>
      <w:r w:rsidRPr="00C31E51">
        <w:rPr>
          <w:rFonts w:eastAsiaTheme="minorHAnsi"/>
          <w:b/>
          <w:lang w:eastAsia="en-US"/>
        </w:rPr>
        <w:t>tartalmi megfelelés</w:t>
      </w:r>
      <w:r w:rsidRPr="00C31E51">
        <w:rPr>
          <w:rFonts w:eastAsiaTheme="minorHAnsi"/>
          <w:lang w:eastAsia="en-US"/>
        </w:rPr>
        <w:t>: az elektronikus másolat azon tulajdonsága, amely szerint az – a hozzá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kapcsolódó  meta</w:t>
      </w:r>
      <w:r w:rsidR="005F4AD3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adatokkal  együttesen  –  biztosítja  a  papíralapú  dokumentum  joghatás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kiváltása szempontjából lényeges tartalmi elemeinek megismerhetőségét, de nem biztosítja a képi megfelelést;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g)  </w:t>
      </w:r>
      <w:r w:rsidRPr="00C31E51">
        <w:rPr>
          <w:rFonts w:eastAsiaTheme="minorHAnsi"/>
          <w:b/>
          <w:lang w:eastAsia="en-US"/>
        </w:rPr>
        <w:t>másolatkészítő  rendszer</w:t>
      </w:r>
      <w:r w:rsidRPr="00C31E51">
        <w:rPr>
          <w:rFonts w:eastAsiaTheme="minorHAnsi"/>
          <w:lang w:eastAsia="en-US"/>
        </w:rPr>
        <w:t>:  a  másolatkészítés  során  alkalmazott  hardver,  szoftver,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humánerőforrás, jelen Szabályzat, valamint ezek együttese;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lastRenderedPageBreak/>
        <w:t xml:space="preserve">h) </w:t>
      </w:r>
      <w:r w:rsidRPr="00C31E51">
        <w:rPr>
          <w:rFonts w:eastAsiaTheme="minorHAnsi"/>
          <w:b/>
          <w:lang w:eastAsia="en-US"/>
        </w:rPr>
        <w:t>meta</w:t>
      </w:r>
      <w:r w:rsidR="005F4AD3">
        <w:rPr>
          <w:rFonts w:eastAsiaTheme="minorHAnsi"/>
          <w:b/>
          <w:lang w:eastAsia="en-US"/>
        </w:rPr>
        <w:t xml:space="preserve"> </w:t>
      </w:r>
      <w:r w:rsidRPr="00C31E51">
        <w:rPr>
          <w:rFonts w:eastAsiaTheme="minorHAnsi"/>
          <w:b/>
          <w:lang w:eastAsia="en-US"/>
        </w:rPr>
        <w:t>adat</w:t>
      </w:r>
      <w:r w:rsidRPr="00C31E51">
        <w:rPr>
          <w:rFonts w:eastAsiaTheme="minorHAnsi"/>
          <w:lang w:eastAsia="en-US"/>
        </w:rPr>
        <w:t>: a tárolt dokumentumot leíró ismertető adatok.</w:t>
      </w:r>
    </w:p>
    <w:p w:rsidR="00041C16" w:rsidRDefault="00041C16" w:rsidP="00F1046F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041C16" w:rsidRDefault="00041C16" w:rsidP="00F1046F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III.</w:t>
      </w:r>
      <w:r w:rsidRPr="00C31E51">
        <w:rPr>
          <w:rFonts w:eastAsiaTheme="minorHAnsi"/>
          <w:b/>
          <w:lang w:eastAsia="en-US"/>
        </w:rPr>
        <w:tab/>
        <w:t xml:space="preserve"> A MÁSOLATKÉSZÍTÉS FOLYAMATA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Általános szabályok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4. A</w:t>
      </w:r>
      <w:r w:rsidR="00041C16" w:rsidRPr="00C31E51">
        <w:rPr>
          <w:rFonts w:eastAsiaTheme="minorHAnsi"/>
          <w:lang w:eastAsia="en-US"/>
        </w:rPr>
        <w:t>z Intézet</w:t>
      </w:r>
      <w:r w:rsidRPr="00C31E51">
        <w:rPr>
          <w:rFonts w:eastAsiaTheme="minorHAnsi"/>
          <w:lang w:eastAsia="en-US"/>
        </w:rPr>
        <w:t xml:space="preserve"> a hozzá papír alapon érkezett küldeményt - a 7. pontban foglalt kivétellel -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legkésőbb az érkezést követő  munkanapon  hiteles  elektronikus  másolattá  alakítj</w:t>
      </w:r>
      <w:r w:rsidR="00041C16" w:rsidRPr="00C31E51">
        <w:rPr>
          <w:rFonts w:eastAsiaTheme="minorHAnsi"/>
          <w:lang w:eastAsia="en-US"/>
        </w:rPr>
        <w:t>a</w:t>
      </w:r>
      <w:r w:rsidRPr="00C31E51">
        <w:rPr>
          <w:rFonts w:eastAsiaTheme="minorHAnsi"/>
          <w:lang w:eastAsia="en-US"/>
        </w:rPr>
        <w:t xml:space="preserve">  át</w:t>
      </w:r>
      <w:r w:rsidR="00041C16" w:rsidRPr="00C31E51">
        <w:rPr>
          <w:rFonts w:eastAsiaTheme="minorHAnsi"/>
          <w:lang w:eastAsia="en-US"/>
        </w:rPr>
        <w:t xml:space="preserve">. </w:t>
      </w:r>
      <w:r w:rsidRPr="00C31E51">
        <w:rPr>
          <w:rFonts w:eastAsiaTheme="minorHAnsi"/>
          <w:lang w:eastAsia="en-US"/>
        </w:rPr>
        <w:t>(a továbbiakban: digitalizálás).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5. Amennyiben a digitalizálási kötelezettség alá eső papíralapú iratot nem másolatkészítésre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jogosult vesz át, köteles azt haladéktalanul a másolatkészítő szerv számára az iratkezelő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rendszerben dokumentáltan átadni.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6. A papíralapú dokumentumról történő elektronikus másolat készítését a</w:t>
      </w:r>
      <w:r w:rsidR="00041C16" w:rsidRPr="00C31E51">
        <w:rPr>
          <w:rFonts w:eastAsiaTheme="minorHAnsi"/>
          <w:lang w:eastAsia="en-US"/>
        </w:rPr>
        <w:t>z Intézet</w:t>
      </w:r>
      <w:r w:rsidRPr="00C31E51">
        <w:rPr>
          <w:rFonts w:eastAsiaTheme="minorHAnsi"/>
          <w:lang w:eastAsia="en-US"/>
        </w:rPr>
        <w:t xml:space="preserve"> bármely erre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31E51">
        <w:rPr>
          <w:rFonts w:eastAsiaTheme="minorHAnsi"/>
          <w:lang w:eastAsia="en-US"/>
        </w:rPr>
        <w:t>a feladatra kijelölt ügykezelési tevékenységet ellátó személye is elvégezheti, ezt követően az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elektronikus másolat hitelesítése az erre jogosult személy (1. melléklet) részvételével történik.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7. Nem digitalizálhatók: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a) a minősített iratok;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b) azok a küldemények, amelyek elektronikus irattá történő átalakítása technikai okból nem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lehetséges;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c) a  büntetés-végrehajtási  intézetben  fogvatartottak,  továbbá  az  idegenrendészeti  őrzött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szálláson,  közösségi  szálláson,  valamint  a  menekültügyi  őrzött  befogadó  központban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elhelyezettek küldeményei;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d) azon iratok, amelyek a címzett döntése alapján nem digitalizálhatók.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041C16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8.  Azoknak a  küldeményeknek  a  digitalizálásáról,  amelyek  a  küldemény  felnyitására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vonatkozó kezelési jelzéssel ellátott (pl. „Saját kezű (sk.) felbontásra!”, „Kizárólag saját kezű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felbontásra!” stb.) borítékban érkeznek, a címzett hoz döntést figyelemmel a közfeladatot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ellátó  szervek  iratkezelésének  általános  szabályairól  szóló  335/2005.  (XII.29.)  Korm.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rendelet 28. § és 67. §-ában foglaltakra. A címzett a döntését az iraton írásban rögzíti.</w:t>
      </w:r>
    </w:p>
    <w:p w:rsidR="00F1046F" w:rsidRPr="00C31E51" w:rsidRDefault="00F1046F" w:rsidP="00041C16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Az elektronikus másolat elkészítése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9.  A másolatkészítő személy a papíralapú dokumentumról a szkenner segítségével legalább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150 dpi, maximum 300 dpi felbontású, .pdf formátumú állományt készít.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10. A másolatkészítés során a dokumentumok oldalanként kerülnek szekennelésre.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11. Kizárólag olyan elektronikus másolat készíthető, amely a papíralapú dokumentum teljes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tartalmát tartalmazza, részleges másolat vagy elektronikus kivonat nem készíthető.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lastRenderedPageBreak/>
        <w:t>12. Amennyiben egy boríték több küldeményt tartalmaz, úgy az iratokról külön-külön kell az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elektronikus másolatot elkészíteni.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13. A  másolatkészítést  végző  az  elektronikus  másolatot  a  Robotzsaru  integrált  ügyviteli,ügyfeldolgozó és elektronikus iratkezelő rendszerben (a továbbiakban: Robotzsaru rendszer) a postabontási adatokhoz csatolja.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Az elektronikus másolat hitelesítése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14.  Az ügyfeldolgozásban résztvevő  elektronikus  másolat  hitelesítésére  feljogosított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személyeket az 1. melléklet tartalmazza.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15. Az elektronikus másolat hitelesítésére feljogosított ügykezelő megállapítja a papíralapú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 és az elektronikus másolat képi és tartalmi megfelelését.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16. A képi és tartalmi megfelelőség egyedileg és oldalanként kerül ellenőrzésre.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17. A másolatkészítés sikeres, ha  az  eredeti  papíralapú  dokumentum  és  az  elektronikus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másolat képi és tartalmi megfelelése megállapítható, azaz az eredeti papíralapú dokumentum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tartalmi és formai elemeinek megismerhetősége biztosított.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18. Amennyiben a képi és tartalmi megfelelés nem állapítható meg, a másolatkészítést meg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kell ismételni, valamint  a  képi  és  tartalmi  megfelelés  megállapítására  nem  alkalmas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dokumentumot törölni kell.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19.  A képi és  tartalmi  megfelelés  megállapítását  követően  az  elektronikus  másolat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hitelesítésére  feljogosított  ügykezelő  az  elektronikus  másolatot,  mint  bontási  mellékletet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hitelesíti és befejezi a postabontási műveletet.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20. A Robotzsaru rendszer a postabontási művelet befejezésével egyidejűleg az elektronikus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másolatot  hitelesítési  záradékkal  látja  el,  és  az  elektronikus  másolathoz  az  alábbi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meta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adatokat rendeli: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a) papíralapú dokumentum megnevezése;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b) papíralapú dokumentum fizikai méretei;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c) másolatkészítő szervezet elnevezése;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d) másolatkészítő neve;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e) másolat képi vagy tartalmi egyezéséért felelős személy neve;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f) másolatkészítő rendszer megnevezése;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g) másolatkészítési szabályzat megnevezése és verziószáma;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h) másolatkészítés időpontja;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i) hitelesítés időpontja;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j) irányadó másolatkészítési rend elérhetősége.</w:t>
      </w:r>
    </w:p>
    <w:p w:rsid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lastRenderedPageBreak/>
        <w:t>21. A hitelesítési záradékkal ellátott elektronikus másolaton a Robotzsaru rendszer elhelyezi a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hitelesítést  végző  személy  nevét  tartalmazó  elektronikus  bélyegzőt  és  az  időbélyeg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szolgáltatótól származó időbélyeget.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22.  Az  elektronikus  dokumentum  megváltoztathatatlanságát  az  elektronikus  bélyegző,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valamint  Robotzsaru rendszer biztosítja a 2. mellékletben foglalt műszaki feltételek szerint.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23.  A szervek  az  ügyfél  által  küldött  eredeti  hatósági  határozatokat,  bizonyítványokat,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igazolványokat,  közokiratokat,  magánokiratokat,  valamint  az  egészségügyi  és  pszichés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állapotra  vonatkozó  dokumentumokat  a  hiteles  elektronikus  másolat  készítését  követően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visszaküldik az ügyfélnek, ha jogszabály másként nem rendelkezik.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 </w:t>
      </w:r>
    </w:p>
    <w:p w:rsidR="00F1046F" w:rsidRPr="00C31E51" w:rsidRDefault="00F1046F" w:rsidP="00041C16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IV. ZÁRÓ RENDELKEZÉSEK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24. A Szabályzat a kiadás napján lép hatályba.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25. A Szabályzatot a</w:t>
      </w:r>
      <w:r w:rsidR="00041C16" w:rsidRPr="00C31E51">
        <w:rPr>
          <w:rFonts w:eastAsiaTheme="minorHAnsi"/>
          <w:lang w:eastAsia="en-US"/>
        </w:rPr>
        <w:t xml:space="preserve">z Intézet </w:t>
      </w:r>
      <w:r w:rsidRPr="00C31E51">
        <w:rPr>
          <w:rFonts w:eastAsiaTheme="minorHAnsi"/>
          <w:lang w:eastAsia="en-US"/>
        </w:rPr>
        <w:t>hivatalos webhelyén – bárki számára elérhető módon – közzé kell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tenni, illetve amennyiben abban változás következik be, módosításáról és cseréjéről a</w:t>
      </w:r>
      <w:r w:rsidR="00041C16" w:rsidRPr="00C31E51">
        <w:rPr>
          <w:rFonts w:eastAsiaTheme="minorHAnsi"/>
          <w:lang w:eastAsia="en-US"/>
        </w:rPr>
        <w:t>z Intézet</w:t>
      </w:r>
      <w:r w:rsidR="005F19A8">
        <w:rPr>
          <w:rFonts w:eastAsiaTheme="minorHAnsi"/>
          <w:lang w:eastAsia="en-US"/>
        </w:rPr>
        <w:t xml:space="preserve"> </w:t>
      </w:r>
      <w:r w:rsidR="00041C16" w:rsidRPr="00C31E51">
        <w:rPr>
          <w:rFonts w:eastAsiaTheme="minorHAnsi"/>
          <w:lang w:eastAsia="en-US"/>
        </w:rPr>
        <w:t>Informatikai osztálya</w:t>
      </w:r>
      <w:r w:rsidRPr="00C31E51">
        <w:rPr>
          <w:rFonts w:eastAsiaTheme="minorHAnsi"/>
          <w:lang w:eastAsia="en-US"/>
        </w:rPr>
        <w:t xml:space="preserve"> gondoskodik. Az előző állapotot a honlapon 10 évig kell megőrizni.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26.  Amennyiben a hiteles  másolatkészítésre  feljogosított  személyek  körében  változás</w:t>
      </w:r>
      <w:r w:rsidR="005F19A8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 xml:space="preserve">következik be, az érintett szakterület vezetője soron kívül, írásban tájékoztatja a </w:t>
      </w:r>
      <w:r w:rsidR="00041C16" w:rsidRPr="00C31E51">
        <w:rPr>
          <w:rFonts w:eastAsiaTheme="minorHAnsi"/>
          <w:lang w:eastAsia="en-US"/>
        </w:rPr>
        <w:t xml:space="preserve">Személyügyi és Szociális </w:t>
      </w:r>
      <w:r w:rsidR="005F4AD3">
        <w:rPr>
          <w:rFonts w:eastAsiaTheme="minorHAnsi"/>
          <w:lang w:eastAsia="en-US"/>
        </w:rPr>
        <w:t>O</w:t>
      </w:r>
      <w:r w:rsidR="00041C16" w:rsidRPr="00C31E51">
        <w:rPr>
          <w:rFonts w:eastAsiaTheme="minorHAnsi"/>
          <w:lang w:eastAsia="en-US"/>
        </w:rPr>
        <w:t>sztály osztályvezetőjét</w:t>
      </w:r>
      <w:r w:rsidRPr="00C31E51">
        <w:rPr>
          <w:rFonts w:eastAsiaTheme="minorHAnsi"/>
          <w:lang w:eastAsia="en-US"/>
        </w:rPr>
        <w:t>, aki a</w:t>
      </w:r>
      <w:r w:rsidR="00041C16" w:rsidRPr="00C31E51">
        <w:rPr>
          <w:rFonts w:eastAsiaTheme="minorHAnsi"/>
          <w:lang w:eastAsia="en-US"/>
        </w:rPr>
        <w:t>z</w:t>
      </w:r>
      <w:r w:rsidRPr="00C31E51">
        <w:rPr>
          <w:rFonts w:eastAsiaTheme="minorHAnsi"/>
          <w:lang w:eastAsia="en-US"/>
        </w:rPr>
        <w:t xml:space="preserve"> </w:t>
      </w:r>
      <w:r w:rsidR="00041C16" w:rsidRPr="00C31E51">
        <w:rPr>
          <w:rFonts w:eastAsiaTheme="minorHAnsi"/>
          <w:lang w:eastAsia="en-US"/>
        </w:rPr>
        <w:t xml:space="preserve">Informatikai </w:t>
      </w:r>
      <w:r w:rsidRPr="00C31E51">
        <w:rPr>
          <w:rFonts w:eastAsiaTheme="minorHAnsi"/>
          <w:lang w:eastAsia="en-US"/>
        </w:rPr>
        <w:t>Osztály</w:t>
      </w:r>
      <w:r w:rsidR="00041C16" w:rsidRP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útján gondoskodik a melléklet módosításáról és a honlapon történő cseréjéről.</w:t>
      </w:r>
    </w:p>
    <w:p w:rsidR="00F1046F" w:rsidRPr="00F1046F" w:rsidRDefault="00F1046F" w:rsidP="00F1046F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F1046F" w:rsidRDefault="00F1046F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F1046F">
      <w:pPr>
        <w:spacing w:line="276" w:lineRule="auto"/>
        <w:jc w:val="right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1. melléklet</w:t>
      </w:r>
    </w:p>
    <w:p w:rsidR="008A4B19" w:rsidRDefault="008A4B19" w:rsidP="00F1046F">
      <w:pPr>
        <w:spacing w:line="276" w:lineRule="auto"/>
        <w:jc w:val="center"/>
        <w:rPr>
          <w:rFonts w:eastAsiaTheme="minorHAnsi"/>
          <w:b/>
          <w:i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C31E51">
        <w:rPr>
          <w:rFonts w:eastAsiaTheme="minorHAnsi"/>
          <w:b/>
          <w:i/>
          <w:lang w:eastAsia="en-US"/>
        </w:rPr>
        <w:t>Hiteles elektronikus másolat készítésére feljogosított személyek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900"/>
        <w:gridCol w:w="2140"/>
        <w:gridCol w:w="1580"/>
      </w:tblGrid>
      <w:tr w:rsidR="00F1046F" w:rsidRPr="00C31E51" w:rsidTr="005F4AD3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  <w:sz w:val="20"/>
                <w:szCs w:val="20"/>
              </w:rPr>
            </w:pPr>
            <w:r w:rsidRPr="00C31E51">
              <w:rPr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  <w:sz w:val="20"/>
                <w:szCs w:val="20"/>
              </w:rPr>
            </w:pPr>
            <w:r w:rsidRPr="00C31E51">
              <w:rPr>
                <w:color w:val="000000"/>
                <w:sz w:val="20"/>
                <w:szCs w:val="20"/>
              </w:rPr>
              <w:t>Személy neve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  <w:sz w:val="20"/>
                <w:szCs w:val="20"/>
              </w:rPr>
            </w:pPr>
            <w:r w:rsidRPr="00C31E51">
              <w:rPr>
                <w:color w:val="000000"/>
                <w:sz w:val="20"/>
                <w:szCs w:val="20"/>
              </w:rPr>
              <w:t>Szolgálati helye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  <w:sz w:val="20"/>
                <w:szCs w:val="20"/>
              </w:rPr>
            </w:pPr>
            <w:r w:rsidRPr="00C31E51">
              <w:rPr>
                <w:color w:val="000000"/>
                <w:sz w:val="20"/>
                <w:szCs w:val="20"/>
              </w:rPr>
              <w:t>Munkaköre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Szabó Andrásné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Személyügyi és Szociális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Segédelőadó</w:t>
            </w:r>
          </w:p>
        </w:tc>
      </w:tr>
      <w:tr w:rsidR="00F1046F" w:rsidRPr="00C31E51" w:rsidTr="005F4AD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Dalocsa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Személyügyi és Szociális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Ügykezelő</w:t>
            </w:r>
          </w:p>
        </w:tc>
      </w:tr>
      <w:tr w:rsidR="00F1046F" w:rsidRPr="00C31E51" w:rsidTr="005F4AD3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Halmai Tamás</w:t>
            </w:r>
            <w:r w:rsidR="0047253B">
              <w:rPr>
                <w:color w:val="000000"/>
              </w:rPr>
              <w:t xml:space="preserve"> Zoltán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Személyügyi és Szociális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Osztályvezető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Pucsek Annabella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Személyügyi és Szociális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Főelőadó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Hatoss Zsolt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4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Informatikai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Osztályvezető</w:t>
            </w:r>
          </w:p>
        </w:tc>
      </w:tr>
      <w:tr w:rsidR="00F1046F" w:rsidRPr="00C31E51" w:rsidTr="005F4AD3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Nagy József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Informatikai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Segédelőadó</w:t>
            </w:r>
          </w:p>
        </w:tc>
      </w:tr>
      <w:tr w:rsidR="00F1046F" w:rsidRPr="00C31E51" w:rsidTr="005F4AD3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Finta Zoltán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Intézet Informatikai Osztály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Segédelőadó</w:t>
            </w:r>
          </w:p>
        </w:tc>
      </w:tr>
      <w:tr w:rsidR="00F1046F" w:rsidRPr="00C31E51" w:rsidTr="005F4AD3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Polczerné Németh Szilvia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Osztályvezető</w:t>
            </w:r>
          </w:p>
        </w:tc>
      </w:tr>
      <w:tr w:rsidR="00F1046F" w:rsidRPr="00C31E51" w:rsidTr="005F4AD3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Bedőcs Zoltán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Csoportvezető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Gazdag László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40D2F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Segédelőadó</w:t>
            </w:r>
          </w:p>
        </w:tc>
      </w:tr>
      <w:tr w:rsidR="0047253B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Pr="00C31E51" w:rsidRDefault="0047253B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47253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Kissné Németh Marianna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47253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47253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Segédelőadó</w:t>
            </w:r>
          </w:p>
        </w:tc>
      </w:tr>
      <w:tr w:rsidR="005F19A8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Pr="00C31E51" w:rsidRDefault="005F19A8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Csete Mária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Reintegrációs tiszt</w:t>
            </w:r>
          </w:p>
        </w:tc>
      </w:tr>
      <w:tr w:rsidR="005F19A8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Pr="00C31E51" w:rsidRDefault="005F19A8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Németh Edit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5F1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Büntetés-végrehajtási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A8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Reintegrációs tiszt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Sebestyén Józsefné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Gazdasági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Gazdasági vezető</w:t>
            </w:r>
          </w:p>
        </w:tc>
      </w:tr>
      <w:tr w:rsidR="00F1046F" w:rsidRPr="00C31E51" w:rsidTr="005F4AD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Kollerné Simon Bernadett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Gazdasági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Osztályvezető-helyettes</w:t>
            </w:r>
          </w:p>
        </w:tc>
      </w:tr>
      <w:tr w:rsidR="00F1046F" w:rsidRPr="00C31E51" w:rsidTr="005F4AD3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Mátisné Novák Ágnes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Gazdasági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Előadó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Hegedüsné Cseter Renáta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5F1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Gazdasági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F19A8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Csoportvezető</w:t>
            </w:r>
          </w:p>
        </w:tc>
      </w:tr>
      <w:tr w:rsidR="00F1046F" w:rsidRPr="00C31E51" w:rsidTr="005F4AD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</w:tbl>
    <w:p w:rsidR="00F1046F" w:rsidRPr="00C31E51" w:rsidRDefault="00F1046F" w:rsidP="00F1046F">
      <w:pPr>
        <w:spacing w:line="276" w:lineRule="auto"/>
        <w:jc w:val="center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900"/>
        <w:gridCol w:w="2140"/>
        <w:gridCol w:w="1750"/>
      </w:tblGrid>
      <w:tr w:rsidR="0047253B" w:rsidRPr="00C31E51" w:rsidTr="00F40D2F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Pr="00C31E51" w:rsidRDefault="0047253B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Gálosi József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Intézet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B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Osztályvezető</w:t>
            </w: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Balogh Zoltán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tiszt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Kőnig Attila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5E5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tiszt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Trimmel Miklós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tiszt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Szentes Ádám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tiszt</w:t>
            </w: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Sinogli László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Intézet Biztonsági Osztály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tiszt</w:t>
            </w: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Koller Mátyás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főfelügyelő</w:t>
            </w: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Szabó Tamás Csaba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Intézet Biztonsági Osztály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főfelügyelő</w:t>
            </w: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Bojnár Andor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főfelügyelő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Bőhm Károly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CA7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CA7AFD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Biztonsági főfelügyelő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Melczer Margaréta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Biztonsági Osztály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5E5CCB" w:rsidP="00F1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Előadó</w:t>
            </w: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  <w:tr w:rsidR="00F1046F" w:rsidRPr="00C31E51" w:rsidTr="00F40D2F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F" w:rsidRPr="00C31E51" w:rsidRDefault="00F1046F" w:rsidP="00F1046F">
            <w:pPr>
              <w:rPr>
                <w:color w:val="000000"/>
              </w:rPr>
            </w:pPr>
            <w:r w:rsidRPr="00C31E51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6F" w:rsidRPr="00C31E51" w:rsidRDefault="00F1046F" w:rsidP="00F1046F">
            <w:pPr>
              <w:jc w:val="center"/>
              <w:rPr>
                <w:color w:val="000000"/>
              </w:rPr>
            </w:pPr>
          </w:p>
        </w:tc>
      </w:tr>
    </w:tbl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</w:p>
    <w:p w:rsidR="00F1046F" w:rsidRPr="00C31E51" w:rsidRDefault="00F1046F" w:rsidP="00F1046F">
      <w:pPr>
        <w:spacing w:line="276" w:lineRule="auto"/>
        <w:jc w:val="right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2. melléklet</w:t>
      </w:r>
    </w:p>
    <w:p w:rsidR="00F1046F" w:rsidRDefault="00F1046F" w:rsidP="00F1046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Műszaki dokumentáció</w:t>
      </w:r>
    </w:p>
    <w:p w:rsidR="00C31E51" w:rsidRPr="00C31E51" w:rsidRDefault="00C31E51" w:rsidP="00F1046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 xml:space="preserve">I. </w:t>
      </w:r>
      <w:r w:rsidRPr="00C31E51">
        <w:rPr>
          <w:rFonts w:eastAsiaTheme="minorHAnsi"/>
          <w:b/>
          <w:lang w:eastAsia="en-US"/>
        </w:rPr>
        <w:tab/>
        <w:t>BEVEZETŐ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papíralapú dokumentum hiteles elektronikus irattá alakításának szabályait figyelembe véve</w:t>
      </w:r>
      <w:r w:rsidR="00CA7AFD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 Robotzsaru NEO  integrált ügyviteli, ügyfeldolgozó és elektronikus iratkezelő rendszer 3.90</w:t>
      </w:r>
      <w:r w:rsidR="000F0CF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 xml:space="preserve">verziójától (a továbbiakban: RZS NEO) képes hiteles elektronikus másolat készítésére. 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informatikai megoldás részletes terveit az egyes részrendszerek fizikai tervei és telepítési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leírásai tartalmazzák.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Papíralapú dokumentumról  hiteles  elektronikus  másolat  készítése  (a  továbbiakban: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másolatkészítés) az iratkezelési folyamat során két esetben történhet: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érkeztetés-postabontás folyamata: bejövő papíralapú küldemények digitalizálása;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iktatás folyamata:  munkafolyamat  során  keletkeztetett  papíralapú  dokumentumok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digitalizálása.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Jelen melléklet a másolatkészítést az érkeztetés-postabontás folyamatában tárgyalja.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II.</w:t>
      </w:r>
      <w:r w:rsidRPr="00C31E51">
        <w:rPr>
          <w:rFonts w:eastAsiaTheme="minorHAnsi"/>
          <w:b/>
          <w:lang w:eastAsia="en-US"/>
        </w:rPr>
        <w:tab/>
        <w:t xml:space="preserve"> RENDSZERSZINTŰ MÁSOLATKÉSZÍTÉSI FOLYAMAT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másolatkészítés a  szkennelő  klienseknél  kezdődik,  ahol  a  digitalizálás  szkennerek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segítségével  PDF  formátumú  fájlba  történik. Az elektronikus másolat  a  másolatkészítő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tevékenységét  támogató  informatikai  környezet  beállításának  megfelelő  tárhelyen  kerül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letárolásra.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elektronikus másolat feldolgozását, hiteles elektronikus másolattá alakítását a RZS NEO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rendszer végzi az RZS Signer modul segítségével.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RZS NEO rendszer biztosítja az ügyviteli folyamatok támogatását, a Büntetés-végrehajtási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Szervezet Egységes Iratkezelési Szabályzatának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megfelelően. Ennek kapcsán az elektronikus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dokumentumokat egyedi  azonosítóval,  meta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adatokkal  kerülnek  kiegészítésre.  Az így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előállított dokumentumok az RZS NEO rendszer által elérhető zárt, biztonságos adatbázisba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 xml:space="preserve">kerülnek letárolásra. 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RZS Signer modul biztosítja a hitelesítéshez kapcsolódó technikai folyamatokat. Ennek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eredményeképpen  az  ügyviteli  rendszerbe  PDF  állományként  érkező  dokumentumokat  a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feldolgozó szerver aláírt PDF dokumentumokká konvertálja, vagyis az elektronikus aláírás, és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 meta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 konverzió szerver oldalon történik.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elektronikus aláírás, a meta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rendszer elektronikus példányra történő bekerülésének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biztonságát a szerver oldali feldolgozás biztosítja.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noProof/>
        </w:rPr>
        <w:drawing>
          <wp:inline distT="0" distB="0" distL="0" distR="0" wp14:anchorId="1A0C97D6" wp14:editId="70299A98">
            <wp:extent cx="5743575" cy="289837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33" t="13921" r="4730" b="12754"/>
                    <a:stretch/>
                  </pic:blipFill>
                  <pic:spPr bwMode="auto">
                    <a:xfrm>
                      <a:off x="0" y="0"/>
                      <a:ext cx="5755287" cy="290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1. ábra: Papíralapú iratról hiteles elektronikus másolat készítésének rendszerszintű feldolgozási folyamata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 xml:space="preserve">III. </w:t>
      </w:r>
      <w:r w:rsidRPr="00C31E51">
        <w:rPr>
          <w:rFonts w:eastAsiaTheme="minorHAnsi"/>
          <w:b/>
          <w:lang w:eastAsia="en-US"/>
        </w:rPr>
        <w:tab/>
        <w:t>RENDSZERSZINTŰ MÁSOLATKÉSZÍTÉSI FOLYAMAT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másolat hitelesítését az RZS Signer modul végzi.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elektronikus másolat hitelesítésének alkotóelemei: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hitelesítési záradék szövege;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elektronikus dokumentum meta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adatai;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elektronikus bélyegző;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időbélyeg.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hitelesítési záradék  szövege  -  „Az  eredeti  papíralapú  dokumentummal  egyező”  –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elhelyezésre kerül az elektronikus dokumentumon.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Meta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adatok a jelen szabályzatban foglaltaknak megfelelőek.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40D2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elektronikus bélyegző  biztosítja  az  adott  dokumentum  lenyomatának  segítségével  a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 xml:space="preserve">dokumentum sértetlenségét és az elektronikus bélyegző tulajdonosának letagadhatatlanságát. </w:t>
      </w:r>
    </w:p>
    <w:p w:rsidR="00F1046F" w:rsidRPr="00C31E51" w:rsidRDefault="00F1046F" w:rsidP="00F40D2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elektronikus bélyegző  használatához  szükséges  tanúsítványt  a  NISZ  Nemzeti Infokommunikációs Szolgáltató Zrt. elektronikus tanúsítványszolgáltató állítja ki.</w:t>
      </w:r>
    </w:p>
    <w:p w:rsidR="00F1046F" w:rsidRPr="00C31E51" w:rsidRDefault="00F1046F" w:rsidP="00F1046F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Az időbélyeg azt igazolja, hogy az adott dokumentum egy adott időpillanatban már létezett. 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időbélyeget a NISZ Nemzeti Infokommunikációs Szolgáltató Zrt. időbélyegzés szolgáltató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állítja ki. Az időbélyeg egy olyan adat, amely tartalmazza az időbélyegzett dokumentum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lenyomatát és  az  időbélyegzés  időpontját. Az időbélyeget egy időbélyegzés  szolgáltató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hitelesíti saját aláírásával.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noProof/>
          <w:sz w:val="22"/>
          <w:szCs w:val="22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F1046F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373779A" wp14:editId="1FC0268A">
            <wp:extent cx="5724525" cy="43529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2. ábra: Az RZS Signer hitelesítés funkció rendszerszintű működése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F1046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9383A31" wp14:editId="4D1D2179">
            <wp:extent cx="5895975" cy="74771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686" t="9281" r="22841" b="3126"/>
                    <a:stretch/>
                  </pic:blipFill>
                  <pic:spPr bwMode="auto">
                    <a:xfrm>
                      <a:off x="0" y="0"/>
                      <a:ext cx="5908368" cy="7492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1046F" w:rsidRPr="00C31E51" w:rsidRDefault="00F1046F" w:rsidP="00F1046F">
      <w:pPr>
        <w:spacing w:line="276" w:lineRule="auto"/>
        <w:jc w:val="center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3. ábra – Az RZS Signer rendszerszintű működés</w:t>
      </w:r>
    </w:p>
    <w:p w:rsidR="00F1046F" w:rsidRPr="00F1046F" w:rsidRDefault="00F1046F" w:rsidP="00F1046F">
      <w:pPr>
        <w:spacing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F1046F" w:rsidRDefault="00F1046F" w:rsidP="00F1046F">
      <w:pPr>
        <w:spacing w:line="276" w:lineRule="auto"/>
        <w:ind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ind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ind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C31E51" w:rsidRDefault="00C31E51" w:rsidP="00F1046F">
      <w:pPr>
        <w:spacing w:line="276" w:lineRule="auto"/>
        <w:ind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C31E51" w:rsidRPr="00F1046F" w:rsidRDefault="00C31E51" w:rsidP="00F1046F">
      <w:pPr>
        <w:spacing w:line="276" w:lineRule="auto"/>
        <w:ind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C31E51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IV.</w:t>
      </w:r>
      <w:r w:rsidRPr="00C31E51">
        <w:rPr>
          <w:rFonts w:eastAsiaTheme="minorHAnsi"/>
          <w:b/>
          <w:lang w:eastAsia="en-US"/>
        </w:rPr>
        <w:tab/>
        <w:t xml:space="preserve"> ELEKTRONIKUS BIZTONSÁG</w:t>
      </w: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Vírusvédelem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másolatkészítést végző munkaállomásokon és a feldolgozást végző szervereken vírusirtó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szoftver működik, ami biztosítja az elektronikus dokumentumok vírusellenőrzését.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40D2F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éles</w:t>
      </w:r>
      <w:r w:rsidR="00C31E51" w:rsidRP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 xml:space="preserve">üzemű </w:t>
      </w:r>
      <w:r w:rsidR="00CA7AFD">
        <w:rPr>
          <w:rFonts w:eastAsiaTheme="minorHAnsi"/>
          <w:lang w:eastAsia="en-US"/>
        </w:rPr>
        <w:t>k</w:t>
      </w:r>
      <w:r w:rsidRPr="00C31E51">
        <w:rPr>
          <w:rFonts w:eastAsiaTheme="minorHAnsi"/>
          <w:lang w:eastAsia="en-US"/>
        </w:rPr>
        <w:t>örnyezetben a  szoftverek  biztonsági  frissítései  folyamatosan  telepítésre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kerülnek, naprakészek.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Az elektronikus dokumentumok megváltoztathatatlansága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papíralapú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dokumentumokról</w:t>
      </w:r>
      <w:r w:rsidR="00CA7AFD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készült  hiteles  elektronikus  dokumentumok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megváltoztathatatlanságát a hitelesítés során alkalmazott elektronikus bélyegző és időbélyeg</w:t>
      </w:r>
      <w:r w:rsidR="008A4B1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biztosítja.</w:t>
      </w:r>
    </w:p>
    <w:p w:rsidR="00F1046F" w:rsidRPr="00F1046F" w:rsidRDefault="00F1046F" w:rsidP="00F1046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Naplózás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RZS Signer saját naplóállománnyal rendelkezik, melynek maximális mérete 200 GB.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 napló adatokból visszakereshető  a  hitelesítési  modul  által  végzett  művelet,  a  művelet</w:t>
      </w:r>
      <w:r w:rsidR="000F0CF9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időpontja és a műveletet indító felhasználó azonosítója.</w:t>
      </w: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b/>
          <w:lang w:eastAsia="en-US"/>
        </w:rPr>
      </w:pPr>
      <w:r w:rsidRPr="00C31E51">
        <w:rPr>
          <w:rFonts w:eastAsiaTheme="minorHAnsi"/>
          <w:b/>
          <w:lang w:eastAsia="en-US"/>
        </w:rPr>
        <w:t>Biztonsági osztályba sorolás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C31E51">
      <w:pPr>
        <w:spacing w:line="276" w:lineRule="auto"/>
        <w:jc w:val="both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Az állami és  önkormányzati  szervek  elektronikus  információbiztonságáról  szóló 2013.  évi  L.  törvényben  meghatározott  technológiai  biztonsági,  valamint  a  biztonságos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információs eszközökre, termékekre, továbbá a biztonsági osztályba és biztonsági szintbe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sorolásra  vonatkozó  követelményekről  szóló  41/2015.  (VII.15.)  BM rendelet alapján a</w:t>
      </w:r>
      <w:r w:rsidR="00F40D2F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rendszer jelenlegi besorolása: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Bizalmasság:               4. osztály</w:t>
      </w:r>
    </w:p>
    <w:p w:rsidR="00F1046F" w:rsidRPr="00C31E51" w:rsidRDefault="00F1046F" w:rsidP="00F1046F">
      <w:pPr>
        <w:spacing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 xml:space="preserve">- Sértetlenség:              </w:t>
      </w:r>
      <w:r w:rsidR="00C31E51">
        <w:rPr>
          <w:rFonts w:eastAsiaTheme="minorHAnsi"/>
          <w:lang w:eastAsia="en-US"/>
        </w:rPr>
        <w:t xml:space="preserve"> </w:t>
      </w:r>
      <w:r w:rsidRPr="00C31E51">
        <w:rPr>
          <w:rFonts w:eastAsiaTheme="minorHAnsi"/>
          <w:lang w:eastAsia="en-US"/>
        </w:rPr>
        <w:t>4. osztály</w:t>
      </w:r>
    </w:p>
    <w:p w:rsidR="00F1046F" w:rsidRPr="00C31E51" w:rsidRDefault="00F1046F" w:rsidP="00F1046F">
      <w:pPr>
        <w:spacing w:after="200" w:line="276" w:lineRule="auto"/>
        <w:rPr>
          <w:rFonts w:eastAsiaTheme="minorHAnsi"/>
          <w:lang w:eastAsia="en-US"/>
        </w:rPr>
      </w:pPr>
      <w:r w:rsidRPr="00C31E51">
        <w:rPr>
          <w:rFonts w:eastAsiaTheme="minorHAnsi"/>
          <w:lang w:eastAsia="en-US"/>
        </w:rPr>
        <w:t>- Rendelkezésre állás:   4. osztály</w:t>
      </w:r>
    </w:p>
    <w:p w:rsidR="00AE1DD9" w:rsidRDefault="00AE1DD9" w:rsidP="00C11CFC"/>
    <w:sectPr w:rsidR="00AE1DD9" w:rsidSect="00305CFC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19" w:rsidRDefault="008A4B19">
      <w:r>
        <w:separator/>
      </w:r>
    </w:p>
  </w:endnote>
  <w:endnote w:type="continuationSeparator" w:id="0">
    <w:p w:rsidR="008A4B19" w:rsidRDefault="008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9" w:rsidRDefault="008A4B19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4B19" w:rsidRDefault="008A4B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9" w:rsidRPr="00583F3E" w:rsidRDefault="008A4B19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 xml:space="preserve">9021 Győr, Jókai </w:t>
    </w:r>
    <w:r>
      <w:rPr>
        <w:sz w:val="18"/>
        <w:szCs w:val="18"/>
      </w:rPr>
      <w:t xml:space="preserve">Mór </w:t>
    </w:r>
    <w:r w:rsidRPr="00583F3E">
      <w:rPr>
        <w:sz w:val="18"/>
        <w:szCs w:val="18"/>
      </w:rPr>
      <w:t>utca 18. telefon: (+36 96) 312-566 fax (+36</w:t>
    </w:r>
    <w:r>
      <w:rPr>
        <w:sz w:val="18"/>
        <w:szCs w:val="18"/>
      </w:rPr>
      <w:t xml:space="preserve"> </w:t>
    </w:r>
    <w:r w:rsidRPr="00583F3E">
      <w:rPr>
        <w:sz w:val="18"/>
        <w:szCs w:val="18"/>
      </w:rPr>
      <w:t>96) 327-043 e</w:t>
    </w:r>
    <w:r>
      <w:rPr>
        <w:sz w:val="18"/>
        <w:szCs w:val="18"/>
      </w:rPr>
      <w:t>-</w:t>
    </w:r>
    <w:r w:rsidRPr="00583F3E">
      <w:rPr>
        <w:sz w:val="18"/>
        <w:szCs w:val="18"/>
      </w:rPr>
      <w:t>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19" w:rsidRDefault="008A4B19">
      <w:r>
        <w:separator/>
      </w:r>
    </w:p>
  </w:footnote>
  <w:footnote w:type="continuationSeparator" w:id="0">
    <w:p w:rsidR="008A4B19" w:rsidRDefault="008A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9" w:rsidRDefault="008A4B19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3795">
          <w:rPr>
            <w:noProof/>
          </w:rPr>
          <w:t>6</w:t>
        </w:r>
        <w:r>
          <w:fldChar w:fldCharType="end"/>
        </w:r>
        <w:r>
          <w:t xml:space="preserve"> - </w:t>
        </w:r>
      </w:sdtContent>
    </w:sdt>
  </w:p>
  <w:p w:rsidR="008A4B19" w:rsidRDefault="008A4B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19" w:rsidRDefault="008A4B19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5916587A" wp14:editId="494D1EE1">
          <wp:extent cx="454737" cy="835200"/>
          <wp:effectExtent l="0" t="0" r="2540" b="317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737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B19" w:rsidRPr="00583F3E" w:rsidRDefault="008A4B19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</w:t>
    </w:r>
    <w:r w:rsidRPr="005A4607">
      <w:t>B</w:t>
    </w:r>
    <w:r w:rsidRPr="00583F3E">
      <w:rPr>
        <w:sz w:val="22"/>
        <w:szCs w:val="22"/>
      </w:rPr>
      <w:t xml:space="preserve">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B99"/>
    <w:rsid w:val="000246BE"/>
    <w:rsid w:val="00041C16"/>
    <w:rsid w:val="00045576"/>
    <w:rsid w:val="00076A28"/>
    <w:rsid w:val="00084E86"/>
    <w:rsid w:val="000970A3"/>
    <w:rsid w:val="000B1A25"/>
    <w:rsid w:val="000B44FF"/>
    <w:rsid w:val="000F0BCB"/>
    <w:rsid w:val="000F0CF9"/>
    <w:rsid w:val="000F60FA"/>
    <w:rsid w:val="00100768"/>
    <w:rsid w:val="00107EBB"/>
    <w:rsid w:val="00114906"/>
    <w:rsid w:val="001303F5"/>
    <w:rsid w:val="00136F69"/>
    <w:rsid w:val="00154631"/>
    <w:rsid w:val="00157E93"/>
    <w:rsid w:val="00165FEC"/>
    <w:rsid w:val="0016620E"/>
    <w:rsid w:val="00182318"/>
    <w:rsid w:val="001939AE"/>
    <w:rsid w:val="001C0574"/>
    <w:rsid w:val="001C3080"/>
    <w:rsid w:val="001F0A6A"/>
    <w:rsid w:val="00210DFA"/>
    <w:rsid w:val="00213CD9"/>
    <w:rsid w:val="00215290"/>
    <w:rsid w:val="00217253"/>
    <w:rsid w:val="00234C9C"/>
    <w:rsid w:val="002455D8"/>
    <w:rsid w:val="002515E4"/>
    <w:rsid w:val="002552A9"/>
    <w:rsid w:val="002557B9"/>
    <w:rsid w:val="0025659F"/>
    <w:rsid w:val="00263964"/>
    <w:rsid w:val="00264FC2"/>
    <w:rsid w:val="00274B24"/>
    <w:rsid w:val="0029137C"/>
    <w:rsid w:val="00295AB3"/>
    <w:rsid w:val="002A5E1F"/>
    <w:rsid w:val="002C5ABA"/>
    <w:rsid w:val="002D5B52"/>
    <w:rsid w:val="0030104E"/>
    <w:rsid w:val="00305955"/>
    <w:rsid w:val="00305CFC"/>
    <w:rsid w:val="003112DA"/>
    <w:rsid w:val="00313795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46E61"/>
    <w:rsid w:val="00455E23"/>
    <w:rsid w:val="00467FDA"/>
    <w:rsid w:val="0047253B"/>
    <w:rsid w:val="004817F5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71C0F"/>
    <w:rsid w:val="0057272D"/>
    <w:rsid w:val="00572BB1"/>
    <w:rsid w:val="00576EA0"/>
    <w:rsid w:val="00583F3E"/>
    <w:rsid w:val="005A4607"/>
    <w:rsid w:val="005B10A2"/>
    <w:rsid w:val="005C0327"/>
    <w:rsid w:val="005C05CC"/>
    <w:rsid w:val="005C5605"/>
    <w:rsid w:val="005D4DB4"/>
    <w:rsid w:val="005E5CCB"/>
    <w:rsid w:val="005E5FAC"/>
    <w:rsid w:val="005F19A8"/>
    <w:rsid w:val="005F4AD3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57772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63D22"/>
    <w:rsid w:val="00867234"/>
    <w:rsid w:val="00884ADF"/>
    <w:rsid w:val="00891B29"/>
    <w:rsid w:val="00894514"/>
    <w:rsid w:val="008A4B19"/>
    <w:rsid w:val="008A505E"/>
    <w:rsid w:val="008B37B7"/>
    <w:rsid w:val="008C077B"/>
    <w:rsid w:val="008D08FB"/>
    <w:rsid w:val="008D4807"/>
    <w:rsid w:val="008E082D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E1DD9"/>
    <w:rsid w:val="00AE1FD6"/>
    <w:rsid w:val="00AE3E79"/>
    <w:rsid w:val="00AF2160"/>
    <w:rsid w:val="00AF5AE7"/>
    <w:rsid w:val="00B01A77"/>
    <w:rsid w:val="00B62E00"/>
    <w:rsid w:val="00B8281C"/>
    <w:rsid w:val="00B87397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1112"/>
    <w:rsid w:val="00BF4D36"/>
    <w:rsid w:val="00C103D6"/>
    <w:rsid w:val="00C11CFC"/>
    <w:rsid w:val="00C12FDD"/>
    <w:rsid w:val="00C21A8A"/>
    <w:rsid w:val="00C26145"/>
    <w:rsid w:val="00C303AB"/>
    <w:rsid w:val="00C31E51"/>
    <w:rsid w:val="00C8071B"/>
    <w:rsid w:val="00C918EB"/>
    <w:rsid w:val="00C95DB6"/>
    <w:rsid w:val="00CA672A"/>
    <w:rsid w:val="00CA7AFD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4B91"/>
    <w:rsid w:val="00DE0566"/>
    <w:rsid w:val="00DE3F12"/>
    <w:rsid w:val="00E26D77"/>
    <w:rsid w:val="00E32BD1"/>
    <w:rsid w:val="00E34835"/>
    <w:rsid w:val="00E5508E"/>
    <w:rsid w:val="00E70986"/>
    <w:rsid w:val="00E74651"/>
    <w:rsid w:val="00E83939"/>
    <w:rsid w:val="00EB15E3"/>
    <w:rsid w:val="00EC5313"/>
    <w:rsid w:val="00EF1241"/>
    <w:rsid w:val="00F061CC"/>
    <w:rsid w:val="00F1046F"/>
    <w:rsid w:val="00F11007"/>
    <w:rsid w:val="00F12DF6"/>
    <w:rsid w:val="00F22B16"/>
    <w:rsid w:val="00F37E92"/>
    <w:rsid w:val="00F40D2F"/>
    <w:rsid w:val="00F425D4"/>
    <w:rsid w:val="00F5220B"/>
    <w:rsid w:val="00F707C4"/>
    <w:rsid w:val="00F75A4C"/>
    <w:rsid w:val="00F83AF7"/>
    <w:rsid w:val="00F84B6C"/>
    <w:rsid w:val="00F9060B"/>
    <w:rsid w:val="00FA4A94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1744</Words>
  <Characters>13934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janosa.attila</dc:creator>
  <cp:lastModifiedBy>janosa.attila</cp:lastModifiedBy>
  <cp:revision>2</cp:revision>
  <cp:lastPrinted>2016-08-19T06:14:00Z</cp:lastPrinted>
  <dcterms:created xsi:type="dcterms:W3CDTF">2018-02-15T07:40:00Z</dcterms:created>
  <dcterms:modified xsi:type="dcterms:W3CDTF">2018-02-15T07:40:00Z</dcterms:modified>
</cp:coreProperties>
</file>