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56" w:rsidRDefault="00686D56" w:rsidP="00686D56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72/2015. (IX.15.) OP</w:t>
      </w:r>
    </w:p>
    <w:p w:rsidR="00686D56" w:rsidRDefault="00686D56" w:rsidP="00686D56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686D56" w:rsidRDefault="00686D56" w:rsidP="00686D56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szolgálat alatt birtokban tartható tárgyak, eszközök körének korlátozásáról és </w:t>
      </w:r>
      <w:r>
        <w:rPr>
          <w:b/>
          <w:bCs/>
          <w:i/>
          <w:iCs/>
        </w:rPr>
        <w:br/>
        <w:t>a technikai ellenőrzés szabályairól</w:t>
      </w:r>
    </w:p>
    <w:p w:rsidR="00686D56" w:rsidRDefault="00686D56" w:rsidP="00686D56">
      <w:pPr>
        <w:pStyle w:val="NormlWeb"/>
        <w:spacing w:after="284" w:afterAutospacing="0"/>
        <w:jc w:val="both"/>
      </w:pPr>
      <w:r>
        <w:t>A büntetés-végrehajtási szervezet belső szabályozási tevékenységéről szóló 2/2013. (IX.13.) BVOP utasítás 7. pontja alapján - figyelemmel a belügyminiszter irányítása alatt álló rendvédelmi feladatokat ellátó szervek hivatásos állományú tagjai által szolgálatban, birtokban tartható vagyontárgyak, magáncélú telekommunikációs eszközök, készpénz, készpénzt helyettesítő eszközök korlátozásának szabályairól szóló 21/2015. (VI.15.) BM rendelet, valamint a belügyminiszter irányítása alá tartozó rendvédelmi feladatokat ellátó szervek hivatásos állományú tagjai esetében a technikai ellenőrzés szabályairól szóló 23/2015. (VI. 15.) BM rendelet előírásaira - a következő szakutasítást adom ki.</w:t>
      </w:r>
    </w:p>
    <w:p w:rsidR="00686D56" w:rsidRDefault="00686D56" w:rsidP="00686D56">
      <w:pPr>
        <w:pStyle w:val="NormlWeb"/>
        <w:spacing w:after="284" w:afterAutospacing="0"/>
        <w:jc w:val="center"/>
      </w:pPr>
      <w:r>
        <w:rPr>
          <w:b/>
          <w:bCs/>
        </w:rPr>
        <w:t>I.</w:t>
      </w:r>
      <w:r>
        <w:rPr>
          <w:b/>
          <w:bCs/>
        </w:rPr>
        <w:br/>
        <w:t>Általános rendelkezés</w:t>
      </w:r>
    </w:p>
    <w:p w:rsidR="00686D56" w:rsidRDefault="00686D56" w:rsidP="00686D56">
      <w:pPr>
        <w:pStyle w:val="NormlWeb"/>
        <w:spacing w:after="284" w:afterAutospacing="0"/>
        <w:ind w:left="567" w:hanging="284"/>
        <w:jc w:val="both"/>
      </w:pPr>
      <w:r>
        <w:t xml:space="preserve">1.  A szakutasítás hatálya a büntetés-végrehajtási szervezet (a továbbiakban: </w:t>
      </w:r>
      <w:proofErr w:type="spellStart"/>
      <w:r>
        <w:t>bv</w:t>
      </w:r>
      <w:proofErr w:type="spellEnd"/>
      <w:r>
        <w:t xml:space="preserve">. szervezet) hivatásos állományú tagjaira terjed ki. </w:t>
      </w:r>
    </w:p>
    <w:p w:rsidR="00686D56" w:rsidRDefault="00686D56" w:rsidP="00686D56">
      <w:pPr>
        <w:pStyle w:val="NormlWeb"/>
        <w:spacing w:after="284" w:afterAutospacing="0"/>
        <w:jc w:val="center"/>
      </w:pPr>
      <w:r>
        <w:rPr>
          <w:b/>
          <w:bCs/>
        </w:rPr>
        <w:br/>
        <w:t>II.</w:t>
      </w:r>
      <w:r>
        <w:rPr>
          <w:b/>
          <w:bCs/>
        </w:rPr>
        <w:br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szolgálat alatt birtokban tartható vagyontárgyakra, magáncélú telekommunikációs eszközre, </w:t>
      </w:r>
      <w:r>
        <w:rPr>
          <w:b/>
          <w:bCs/>
        </w:rPr>
        <w:br/>
        <w:t>készpénzre és készpénzt helyettesítő eszközökre vonatkozó korlátozás</w:t>
      </w:r>
    </w:p>
    <w:p w:rsidR="00686D56" w:rsidRDefault="00686D56" w:rsidP="0000251A">
      <w:pPr>
        <w:pStyle w:val="NormlWeb"/>
        <w:spacing w:before="0" w:beforeAutospacing="0" w:after="0" w:afterAutospacing="0"/>
        <w:ind w:left="567" w:hanging="284"/>
        <w:jc w:val="both"/>
      </w:pPr>
      <w:r>
        <w:t>2.  A hivatásos állomány szolgálatban lévő tagja a büntetés-végrehajtás intézet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>  fogvatartott elhelyezésére szolgáló részlegén,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t>b)</w:t>
      </w:r>
      <w:r>
        <w:t xml:space="preserve">  a fogvatartottak foglalkoztatására kijelölt területén, 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t>c)</w:t>
      </w:r>
      <w:r>
        <w:t xml:space="preserve">  az őrhelyen, továbbá, 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t>d)</w:t>
      </w:r>
      <w:r>
        <w:t>  a büntetés-végrehajtási objektumon kívüli őrzési, felügyeleti és ellenőrzési feladat ellátásakor</w:t>
      </w:r>
    </w:p>
    <w:p w:rsidR="00686D56" w:rsidRDefault="00686D56" w:rsidP="00686D56">
      <w:pPr>
        <w:pStyle w:val="NormlWeb"/>
        <w:spacing w:after="284" w:afterAutospacing="0"/>
        <w:ind w:left="567"/>
        <w:jc w:val="both"/>
      </w:pPr>
      <w:proofErr w:type="gramStart"/>
      <w:r>
        <w:t>magáncélú</w:t>
      </w:r>
      <w:proofErr w:type="gramEnd"/>
      <w:r>
        <w:t xml:space="preserve"> telekommunikációs eszközt, tízezer forintot meghaladó készpénzt, vagy ennek megfelelő összegű külföldi fizetőeszközt és készpénz-helyettesítő fizetési eszközt nem tarthat magánál.</w:t>
      </w:r>
    </w:p>
    <w:p w:rsidR="00686D56" w:rsidRDefault="00686D56" w:rsidP="00686D56">
      <w:pPr>
        <w:pStyle w:val="NormlWeb"/>
        <w:spacing w:after="284" w:afterAutospacing="0"/>
        <w:ind w:left="567" w:hanging="284"/>
        <w:jc w:val="both"/>
      </w:pPr>
      <w:r>
        <w:t>3.  A 2. pontban meghatározott tilalom alá eső tárgyat a hivatásos állomány szolgálatba lépő tagja az ott meghatározott beviteli korlátozásoknak megfelelően köteles az értékmegőrzőben elzárni.</w:t>
      </w:r>
    </w:p>
    <w:p w:rsidR="00686D56" w:rsidRDefault="00686D56" w:rsidP="00686D56">
      <w:pPr>
        <w:pStyle w:val="NormlWeb"/>
        <w:spacing w:after="284" w:afterAutospacing="0"/>
        <w:ind w:left="567" w:hanging="284"/>
        <w:jc w:val="both"/>
      </w:pPr>
      <w:r>
        <w:t>4.  Ha az értékmegőrző szekrényben való elhelyezés nem lehetséges, a tilalom alá eső tárgyat az átadó által aláírt borítékban, az állományilletékes parancsnok által kijelölt - kizárólag az átvevő személy által kezelt - lemezszekrényében kell tárolni a szolgálat végéig. Az átadás-átvétel tényét, a nyilatkozatot külön erre a célra megnyitott, sorszámmal ellátott nyilvántartásban kell dokumentálni.</w:t>
      </w:r>
    </w:p>
    <w:p w:rsidR="00686D56" w:rsidRDefault="00686D56" w:rsidP="00686D56">
      <w:pPr>
        <w:pStyle w:val="NormlWeb"/>
        <w:spacing w:after="284" w:afterAutospacing="0"/>
        <w:ind w:left="567" w:hanging="284"/>
        <w:jc w:val="both"/>
      </w:pPr>
      <w:r>
        <w:lastRenderedPageBreak/>
        <w:t>5.  Az állományilletékes parancsnok a magáncélú telekommunikációs eszköz 2. pont szerinti tilalom alá nem eső szolgálatellátás során történő használatát akkor is korlátozhatja, ha az általános tiltás feltételei nem állnak fenn, de a végrehajtandó szolgálati feladatok tartalma alapján a szolgálat ellátásával az nem fér össze. A korlátozás vonatkozhat a teljes szolgálat időtartamára, annak meghatározott időszakára vagy egyedileg meghatározott szolgálati feladat végrehajtásának időtartamára.</w:t>
      </w:r>
    </w:p>
    <w:p w:rsidR="00686D56" w:rsidRDefault="00686D56" w:rsidP="00686D56">
      <w:pPr>
        <w:pStyle w:val="NormlWeb"/>
        <w:spacing w:after="284" w:afterAutospacing="0"/>
        <w:ind w:left="567" w:hanging="284"/>
        <w:jc w:val="both"/>
      </w:pPr>
      <w:r>
        <w:t>6.  Különös méltánylást érdemlő körülmény esetben a szolgálati elöljáró a hivatásos állomány tagjának magáncélú telekommunikációs eszköz útján való elérhetőségét meghatározott időszakra engedélyezheti. A kérelmet és az engedélyezést dokumentálni kell.</w:t>
      </w:r>
    </w:p>
    <w:p w:rsidR="00686D56" w:rsidRDefault="00686D56" w:rsidP="0000251A">
      <w:pPr>
        <w:pStyle w:val="NormlWeb"/>
        <w:spacing w:before="0" w:beforeAutospacing="0" w:after="0" w:afterAutospacing="0"/>
        <w:ind w:left="567" w:hanging="284"/>
        <w:jc w:val="both"/>
      </w:pPr>
      <w:r>
        <w:t>7.  Az állományilletékes parancsnok köteles helyi intézkedésben meghatározni: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>a 2. pont a)</w:t>
      </w:r>
      <w:proofErr w:type="spellStart"/>
      <w:r>
        <w:t>-c</w:t>
      </w:r>
      <w:proofErr w:type="spellEnd"/>
      <w:r>
        <w:t>) alpont szerinti tilalom alá eső területeket,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t>b)  </w:t>
      </w:r>
      <w:r>
        <w:t>a 4. pont szerinti átvevő személyt és a tárolásra kijelölt lemezszekrényt,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t>c)  </w:t>
      </w:r>
      <w:r>
        <w:t>azokat a 2. pont szerinti helyszíneket, ahol a szolgálati célú telekommunikációs eszközzel való folyamatos elérhetőség hiányában a magáncélú telekommunikációs eszköz használata engedélyezhető,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t>d)  </w:t>
      </w:r>
      <w:r>
        <w:t>a magáncélú telekommunikációs eszköz időszaki és eseti engedélyezésének, valamint a korlátozási rendelkezések adminisztrálási és nyilvántartási rendszerét.</w:t>
      </w:r>
    </w:p>
    <w:p w:rsidR="00686D56" w:rsidRDefault="00686D56" w:rsidP="00686D56">
      <w:pPr>
        <w:pStyle w:val="NormlWeb"/>
        <w:spacing w:after="284" w:afterAutospacing="0"/>
        <w:jc w:val="center"/>
      </w:pPr>
      <w:r>
        <w:rPr>
          <w:b/>
          <w:bCs/>
        </w:rPr>
        <w:br/>
        <w:t>III.</w:t>
      </w:r>
      <w:r>
        <w:rPr>
          <w:b/>
          <w:bCs/>
        </w:rPr>
        <w:br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technikai ellenőrzés szabályai</w:t>
      </w:r>
    </w:p>
    <w:p w:rsidR="00686D56" w:rsidRDefault="00686D56" w:rsidP="0000251A">
      <w:pPr>
        <w:pStyle w:val="NormlWeb"/>
        <w:spacing w:before="0" w:beforeAutospacing="0" w:after="0" w:afterAutospacing="0"/>
        <w:ind w:left="567" w:hanging="284"/>
        <w:jc w:val="both"/>
      </w:pPr>
      <w:r>
        <w:t>8.  Az állományilletékes parancsnok állandó vagy eseti jelleggel elrendelheti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 xml:space="preserve">a szolgálatteljesítésre kijelölt helyiségben vagy a közterületen az ott tartózkodók számára nyilvánvalóan észlelhető módon elhelyezett képrögzítő, hangrögzítő, valamint kép- és hangrögzítő eszköz (a továbbiakban: technikai eszköz) vagy 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t>b)  </w:t>
      </w:r>
      <w:r>
        <w:t xml:space="preserve">a szolgálati gépjárműben, illetve a rendvédelmi szerv által rendelkezésre bocsátott telekommunikációs eszközben működő, a tartózkodási hely megállapítására és nyomon követésére alkalmas technikai berendezés (a továbbiakban: helymeghatározó eszköz) </w:t>
      </w:r>
    </w:p>
    <w:p w:rsidR="00686D56" w:rsidRDefault="00686D56" w:rsidP="0000251A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t>alkalmazását</w:t>
      </w:r>
      <w:proofErr w:type="gramEnd"/>
      <w:r>
        <w:t xml:space="preserve">. </w:t>
      </w:r>
    </w:p>
    <w:p w:rsidR="00686D56" w:rsidRDefault="00686D56" w:rsidP="0000251A">
      <w:pPr>
        <w:pStyle w:val="NormlWeb"/>
        <w:spacing w:before="284" w:beforeAutospacing="0" w:after="0" w:afterAutospacing="0"/>
        <w:ind w:left="568" w:hanging="284"/>
        <w:jc w:val="both"/>
      </w:pPr>
      <w:r>
        <w:t>9.  Technikai eszköz állandó jellegű alkalmazása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 xml:space="preserve">a fogvatartottak elhelyezését szolgáló épület, épületrész folyosóján, közösségi helyiségében és udvarán, 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t>b)  </w:t>
      </w:r>
      <w:r>
        <w:t>a fogvatartottak szállítását szolgáló gépjárműben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t>c)  </w:t>
      </w:r>
      <w:r>
        <w:t>a büntetés-végrehajtási intézet személyi és gépjármű bejárati zsilipjében, valamint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t>d)  </w:t>
      </w:r>
      <w:r>
        <w:t>külső falrészek vonatkozásában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proofErr w:type="gramStart"/>
      <w:r>
        <w:t>rendelhető</w:t>
      </w:r>
      <w:proofErr w:type="gramEnd"/>
      <w:r>
        <w:t xml:space="preserve"> el. </w:t>
      </w:r>
    </w:p>
    <w:p w:rsidR="00686D56" w:rsidRDefault="00686D56" w:rsidP="00686D56">
      <w:pPr>
        <w:pStyle w:val="NormlWeb"/>
        <w:spacing w:after="284" w:afterAutospacing="0"/>
        <w:ind w:left="567" w:hanging="284"/>
        <w:jc w:val="both"/>
      </w:pPr>
      <w:r>
        <w:t xml:space="preserve">10. Helymeghatározó eszköz állandó jelleggel a fogvatartottak szállítására szolgáló járműben alkalmazható. </w:t>
      </w:r>
    </w:p>
    <w:p w:rsidR="0000251A" w:rsidRDefault="0000251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:rsidR="00686D56" w:rsidRDefault="00686D56" w:rsidP="0000251A">
      <w:pPr>
        <w:pStyle w:val="NormlWeb"/>
        <w:spacing w:before="0" w:beforeAutospacing="0" w:after="0" w:afterAutospacing="0"/>
        <w:ind w:left="567" w:hanging="284"/>
        <w:jc w:val="both"/>
      </w:pPr>
      <w:r>
        <w:lastRenderedPageBreak/>
        <w:t>11. Az állományilletékes parancsnok köteles helyi intézkedésben meghatározni: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 </w:t>
      </w:r>
      <w:r>
        <w:t>az adatrögzítéssel érintett helyszíneket és járműveket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t>b)  </w:t>
      </w:r>
      <w:r>
        <w:t>az adatrögzítéssel érintettek tájékoztatási rendjét,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t>c)  </w:t>
      </w:r>
      <w:r>
        <w:t>a rögzített adatok megőrzésére, tárolására, törlésére, valamint ezek adminisztrációjára szolgáló anyagi-technikai eszközöket és azok kezelési rendjét,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t>d)  </w:t>
      </w:r>
      <w:r>
        <w:t>azt a személyt, akinek feladata a rögzített személyes adatok letöltése, feldolgozása, továbbítása, szükséges esetben kiértékelése, megőrzése, tárolása, törlése, a szükséges tárolókapacitás rendelkezésre állásának figyelemmel kísérése,</w:t>
      </w:r>
    </w:p>
    <w:p w:rsidR="00686D56" w:rsidRDefault="00686D56" w:rsidP="0000251A">
      <w:pPr>
        <w:pStyle w:val="NormlWeb"/>
        <w:spacing w:before="0" w:beforeAutospacing="0" w:after="0" w:afterAutospacing="0"/>
        <w:ind w:left="1134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  </w:t>
      </w:r>
      <w:r>
        <w:t>a rögzített személyes adatok megismerésére jogosultak, illetve az adattovábbítási kérelmek elbírálására feladat - és hatáskörrel rendelkező személyek körét.</w:t>
      </w:r>
    </w:p>
    <w:p w:rsidR="00686D56" w:rsidRDefault="00686D56" w:rsidP="00686D56">
      <w:pPr>
        <w:pStyle w:val="NormlWeb"/>
        <w:spacing w:after="284" w:afterAutospacing="0"/>
        <w:ind w:left="567" w:hanging="284"/>
        <w:jc w:val="both"/>
      </w:pPr>
      <w:r>
        <w:t>12. Az állományilletékes parancsnok köteles gondoskodni arról, hogy a munkaköri leírásban tájékoztatás történjen a technikai eszköz és a helymeghatározó eszköz alkalmazásáról.</w:t>
      </w:r>
    </w:p>
    <w:p w:rsidR="00686D56" w:rsidRDefault="00686D56" w:rsidP="00686D56">
      <w:pPr>
        <w:pStyle w:val="NormlWeb"/>
        <w:spacing w:after="284" w:afterAutospacing="0"/>
        <w:ind w:left="567" w:hanging="284"/>
        <w:jc w:val="both"/>
      </w:pPr>
      <w:r>
        <w:t>13. Ez a szakutasítás a kiadás napján lép hatályba.</w:t>
      </w:r>
    </w:p>
    <w:p w:rsidR="00686D56" w:rsidRDefault="00686D56" w:rsidP="00686D56">
      <w:pPr>
        <w:pStyle w:val="NormlWeb"/>
        <w:spacing w:after="284" w:afterAutospacing="0"/>
        <w:ind w:left="567" w:hanging="284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bv.altábornagy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9B5230" w:rsidRPr="00686D56" w:rsidRDefault="009B5230" w:rsidP="00686D56"/>
    <w:sectPr w:rsidR="009B5230" w:rsidRPr="00686D56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B1A"/>
    <w:rsid w:val="0000251A"/>
    <w:rsid w:val="0017206C"/>
    <w:rsid w:val="00686D56"/>
    <w:rsid w:val="009B5230"/>
    <w:rsid w:val="00E17B1A"/>
    <w:rsid w:val="00F9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dcterms:created xsi:type="dcterms:W3CDTF">2015-09-26T07:29:00Z</dcterms:created>
  <dcterms:modified xsi:type="dcterms:W3CDTF">2015-09-26T07:31:00Z</dcterms:modified>
</cp:coreProperties>
</file>